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4.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2875" w:rsidRDefault="00BF1DCA">
      <w:pPr>
        <w:pStyle w:val="Footer1"/>
        <w:tabs>
          <w:tab w:val="clear" w:pos="4320"/>
          <w:tab w:val="clear" w:pos="8640"/>
        </w:tabs>
        <w:rPr>
          <w:rFonts w:ascii="Times New Roman Bold" w:hAnsi="Times New Roman Bold"/>
          <w:caps/>
          <w:sz w:val="22"/>
          <w:u w:val="single"/>
        </w:rPr>
      </w:pPr>
      <w:r>
        <w:rPr>
          <w:sz w:val="20"/>
        </w:rPr>
        <w:t xml:space="preserve">           For more information about GEF, visit </w:t>
      </w:r>
      <w:hyperlink r:id="rId7" w:history="1">
        <w:r>
          <w:rPr>
            <w:rStyle w:val="Hyperlink1"/>
          </w:rPr>
          <w:t>TheGEF.org</w:t>
        </w:r>
      </w:hyperlink>
    </w:p>
    <w:p w:rsidR="007B2875" w:rsidRDefault="00BF1DCA">
      <w:pPr>
        <w:pStyle w:val="Footer1"/>
        <w:tabs>
          <w:tab w:val="clear" w:pos="4320"/>
          <w:tab w:val="clear" w:pos="8640"/>
        </w:tabs>
        <w:rPr>
          <w:rFonts w:ascii="Times New Roman Bold" w:hAnsi="Times New Roman Bold"/>
          <w:caps/>
          <w:color w:val="2586F6"/>
          <w:sz w:val="22"/>
          <w:u w:val="single"/>
        </w:rPr>
      </w:pPr>
      <w:r>
        <w:rPr>
          <w:rFonts w:ascii="Times New Roman Bold" w:hAnsi="Times New Roman Bold"/>
          <w:caps/>
          <w:color w:val="2586F6"/>
          <w:sz w:val="22"/>
          <w:u w:val="single"/>
        </w:rPr>
        <w:t>PART I: Project Inf</w:t>
      </w:r>
      <w:r w:rsidR="00E96D06" w:rsidRPr="00E96D06">
        <w:rPr>
          <w:noProof/>
        </w:rPr>
        <w:pict>
          <v:rect id="_x0000_s2050" style="position:absolute;margin-left:180.05pt;margin-top:40.2pt;width:343.05pt;height:44.9pt;z-index:251656704;mso-wrap-distance-left:0;mso-wrap-distance-right:0;mso-position-horizontal-relative:page;mso-position-vertical-relative:page" coordsize="21600,21600" stroked="f" strokeweight="1pt">
            <v:fill o:detectmouseclick="t"/>
            <v:stroke joinstyle="round"/>
            <v:path arrowok="t" o:connectlocs="10800,10800"/>
            <v:textbox inset="0,0,0,0">
              <w:txbxContent>
                <w:p w:rsidR="001173A3" w:rsidRDefault="001173A3">
                  <w:pPr>
                    <w:rPr>
                      <w:rFonts w:ascii="Times New Roman Bold" w:hAnsi="Times New Roman Bold"/>
                      <w:caps/>
                      <w:sz w:val="30"/>
                    </w:rPr>
                  </w:pPr>
                  <w:r>
                    <w:rPr>
                      <w:rFonts w:ascii="Times New Roman Bold" w:hAnsi="Times New Roman Bold"/>
                      <w:caps/>
                      <w:sz w:val="30"/>
                    </w:rPr>
                    <w:t>Project Identification Form (PIF)</w:t>
                  </w:r>
                  <w:r>
                    <w:rPr>
                      <w:rStyle w:val="FootnoteReference1"/>
                      <w:rFonts w:ascii="Times New Roman Bold" w:hAnsi="Times New Roman Bold"/>
                      <w:caps/>
                      <w:sz w:val="30"/>
                    </w:rPr>
                    <w:t xml:space="preserve"> </w:t>
                  </w:r>
                </w:p>
                <w:p w:rsidR="001173A3" w:rsidRDefault="001173A3">
                  <w:pPr>
                    <w:rPr>
                      <w:sz w:val="20"/>
                    </w:rPr>
                  </w:pPr>
                  <w:r>
                    <w:rPr>
                      <w:rFonts w:ascii="Times New Roman Bold" w:hAnsi="Times New Roman Bold"/>
                      <w:smallCaps/>
                      <w:sz w:val="20"/>
                    </w:rPr>
                    <w:t xml:space="preserve">Project Type: Full Size Project </w:t>
                  </w:r>
                </w:p>
                <w:p w:rsidR="001173A3" w:rsidRDefault="001173A3">
                  <w:pPr>
                    <w:rPr>
                      <w:rFonts w:eastAsia="Times New Roman"/>
                      <w:color w:val="auto"/>
                      <w:sz w:val="20"/>
                    </w:rPr>
                  </w:pPr>
                  <w:r>
                    <w:rPr>
                      <w:rFonts w:ascii="Times New Roman Bold" w:hAnsi="Times New Roman Bold"/>
                      <w:smallCaps/>
                      <w:sz w:val="20"/>
                    </w:rPr>
                    <w:t>Type of Trust Fund: GEF TRUST FUND</w:t>
                  </w:r>
                </w:p>
              </w:txbxContent>
            </v:textbox>
            <w10:wrap type="square" anchorx="page" anchory="page"/>
          </v:rect>
        </w:pict>
      </w:r>
      <w:r>
        <w:rPr>
          <w:noProof/>
        </w:rPr>
        <w:drawing>
          <wp:anchor distT="50800" distB="50800" distL="50800" distR="50800" simplePos="0" relativeHeight="251657728" behindDoc="0" locked="0" layoutInCell="1" allowOverlap="1">
            <wp:simplePos x="0" y="0"/>
            <wp:positionH relativeFrom="page">
              <wp:posOffset>1409700</wp:posOffset>
            </wp:positionH>
            <wp:positionV relativeFrom="page">
              <wp:posOffset>403225</wp:posOffset>
            </wp:positionV>
            <wp:extent cx="723900" cy="741680"/>
            <wp:effectExtent l="1905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a:stretch>
                      <a:fillRect/>
                    </a:stretch>
                  </pic:blipFill>
                  <pic:spPr bwMode="auto">
                    <a:xfrm>
                      <a:off x="0" y="0"/>
                      <a:ext cx="723900" cy="741680"/>
                    </a:xfrm>
                    <a:prstGeom prst="rect">
                      <a:avLst/>
                    </a:prstGeom>
                    <a:noFill/>
                    <a:ln w="9525" cap="flat">
                      <a:noFill/>
                      <a:round/>
                      <a:headEnd/>
                      <a:tailEnd/>
                    </a:ln>
                  </pic:spPr>
                </pic:pic>
              </a:graphicData>
            </a:graphic>
          </wp:anchor>
        </w:drawing>
      </w:r>
      <w:r>
        <w:rPr>
          <w:rFonts w:ascii="Times New Roman Bold" w:hAnsi="Times New Roman Bold"/>
          <w:caps/>
          <w:color w:val="2586F6"/>
          <w:sz w:val="22"/>
          <w:u w:val="single"/>
        </w:rPr>
        <w:t>ormation</w:t>
      </w:r>
    </w:p>
    <w:tbl>
      <w:tblPr>
        <w:tblW w:w="0" w:type="auto"/>
        <w:tblInd w:w="5" w:type="dxa"/>
        <w:tblLayout w:type="fixed"/>
        <w:tblLook w:val="0000"/>
      </w:tblPr>
      <w:tblGrid>
        <w:gridCol w:w="2265"/>
        <w:gridCol w:w="2812"/>
        <w:gridCol w:w="2169"/>
        <w:gridCol w:w="2098"/>
      </w:tblGrid>
      <w:tr w:rsidR="007B2875">
        <w:trPr>
          <w:cantSplit/>
          <w:trHeight w:val="660"/>
        </w:trPr>
        <w:tc>
          <w:tcPr>
            <w:tcW w:w="226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Project Title:</w:t>
            </w:r>
          </w:p>
        </w:tc>
        <w:tc>
          <w:tcPr>
            <w:tcW w:w="707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Innovative use of a voluntary Payment for Environmental Services scheme to avoid and reduce GHG emissions and enhance carbon stocks in the highly threatened Dry Chaco Forest Complex in Western Paraguay</w:t>
            </w:r>
          </w:p>
        </w:tc>
      </w:tr>
      <w:tr w:rsidR="007B2875">
        <w:trPr>
          <w:cantSplit/>
          <w:trHeight w:val="310"/>
        </w:trPr>
        <w:tc>
          <w:tcPr>
            <w:tcW w:w="226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Country(</w:t>
            </w:r>
            <w:proofErr w:type="spellStart"/>
            <w:r>
              <w:rPr>
                <w:sz w:val="20"/>
              </w:rPr>
              <w:t>ies</w:t>
            </w:r>
            <w:proofErr w:type="spellEnd"/>
            <w:r>
              <w:rPr>
                <w:sz w:val="20"/>
              </w:rPr>
              <w:t>):</w:t>
            </w:r>
          </w:p>
        </w:tc>
        <w:tc>
          <w:tcPr>
            <w:tcW w:w="281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Paraguay</w:t>
            </w:r>
          </w:p>
        </w:tc>
        <w:tc>
          <w:tcPr>
            <w:tcW w:w="216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GEF Project ID:</w:t>
            </w: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5668</w:t>
            </w:r>
          </w:p>
        </w:tc>
      </w:tr>
      <w:tr w:rsidR="007B2875">
        <w:trPr>
          <w:cantSplit/>
          <w:trHeight w:val="310"/>
        </w:trPr>
        <w:tc>
          <w:tcPr>
            <w:tcW w:w="226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GEF Agency(</w:t>
            </w:r>
            <w:proofErr w:type="spellStart"/>
            <w:r>
              <w:rPr>
                <w:sz w:val="20"/>
              </w:rPr>
              <w:t>ies</w:t>
            </w:r>
            <w:proofErr w:type="spellEnd"/>
            <w:r>
              <w:rPr>
                <w:sz w:val="20"/>
              </w:rPr>
              <w:t>):</w:t>
            </w:r>
          </w:p>
        </w:tc>
        <w:tc>
          <w:tcPr>
            <w:tcW w:w="281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Conservation International</w:t>
            </w:r>
          </w:p>
        </w:tc>
        <w:tc>
          <w:tcPr>
            <w:tcW w:w="216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GEF Agency Project ID:</w:t>
            </w: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     </w:t>
            </w:r>
          </w:p>
        </w:tc>
      </w:tr>
      <w:tr w:rsidR="007B2875">
        <w:trPr>
          <w:cantSplit/>
          <w:trHeight w:val="880"/>
        </w:trPr>
        <w:tc>
          <w:tcPr>
            <w:tcW w:w="226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Other Executing Partner(s):</w:t>
            </w:r>
          </w:p>
        </w:tc>
        <w:tc>
          <w:tcPr>
            <w:tcW w:w="281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lang w:val="es-ES_tradnl"/>
              </w:rPr>
            </w:pPr>
            <w:proofErr w:type="spellStart"/>
            <w:r>
              <w:rPr>
                <w:sz w:val="20"/>
                <w:lang w:val="es-ES_tradnl"/>
              </w:rPr>
              <w:t>Secretariat</w:t>
            </w:r>
            <w:proofErr w:type="spellEnd"/>
            <w:r>
              <w:rPr>
                <w:sz w:val="20"/>
                <w:lang w:val="es-ES_tradnl"/>
              </w:rPr>
              <w:t xml:space="preserve"> of </w:t>
            </w:r>
            <w:proofErr w:type="spellStart"/>
            <w:r>
              <w:rPr>
                <w:sz w:val="20"/>
                <w:lang w:val="es-ES_tradnl"/>
              </w:rPr>
              <w:t>the</w:t>
            </w:r>
            <w:proofErr w:type="spellEnd"/>
            <w:r>
              <w:rPr>
                <w:sz w:val="20"/>
                <w:lang w:val="es-ES_tradnl"/>
              </w:rPr>
              <w:t xml:space="preserve"> </w:t>
            </w:r>
            <w:proofErr w:type="spellStart"/>
            <w:r>
              <w:rPr>
                <w:sz w:val="20"/>
                <w:lang w:val="es-ES_tradnl"/>
              </w:rPr>
              <w:t>Environment</w:t>
            </w:r>
            <w:proofErr w:type="spellEnd"/>
            <w:r>
              <w:rPr>
                <w:sz w:val="20"/>
                <w:lang w:val="es-ES_tradnl"/>
              </w:rPr>
              <w:t xml:space="preserve"> (Secretaría del Ambiente, SEAM) and Asociación </w:t>
            </w:r>
            <w:proofErr w:type="spellStart"/>
            <w:r>
              <w:rPr>
                <w:sz w:val="20"/>
                <w:lang w:val="es-ES_tradnl"/>
              </w:rPr>
              <w:t>Guyrá</w:t>
            </w:r>
            <w:proofErr w:type="spellEnd"/>
            <w:r>
              <w:rPr>
                <w:sz w:val="20"/>
                <w:lang w:val="es-ES_tradnl"/>
              </w:rPr>
              <w:t xml:space="preserve"> Paraguay (</w:t>
            </w:r>
            <w:proofErr w:type="spellStart"/>
            <w:r>
              <w:rPr>
                <w:sz w:val="20"/>
                <w:lang w:val="es-ES_tradnl"/>
              </w:rPr>
              <w:t>Guyrá</w:t>
            </w:r>
            <w:proofErr w:type="spellEnd"/>
            <w:r>
              <w:rPr>
                <w:sz w:val="20"/>
                <w:lang w:val="es-ES_tradnl"/>
              </w:rPr>
              <w:t xml:space="preserve"> Paraguay)</w:t>
            </w:r>
          </w:p>
        </w:tc>
        <w:tc>
          <w:tcPr>
            <w:tcW w:w="216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Submission Date:</w:t>
            </w: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27-Jan-14</w:t>
            </w:r>
          </w:p>
        </w:tc>
      </w:tr>
      <w:tr w:rsidR="007B2875">
        <w:trPr>
          <w:cantSplit/>
          <w:trHeight w:val="880"/>
        </w:trPr>
        <w:tc>
          <w:tcPr>
            <w:tcW w:w="226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GEF Focal Area (s):</w:t>
            </w:r>
          </w:p>
        </w:tc>
        <w:tc>
          <w:tcPr>
            <w:tcW w:w="281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Climate Change</w:t>
            </w:r>
          </w:p>
        </w:tc>
        <w:tc>
          <w:tcPr>
            <w:tcW w:w="216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Project Duration (Months)</w:t>
            </w: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48</w:t>
            </w:r>
          </w:p>
        </w:tc>
      </w:tr>
      <w:tr w:rsidR="007B2875">
        <w:trPr>
          <w:cantSplit/>
          <w:trHeight w:val="1100"/>
        </w:trPr>
        <w:tc>
          <w:tcPr>
            <w:tcW w:w="226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Name of parent program (if applicable):</w:t>
            </w:r>
          </w:p>
          <w:p w:rsidR="007B2875" w:rsidRDefault="00BF1DCA">
            <w:pPr>
              <w:numPr>
                <w:ilvl w:val="0"/>
                <w:numId w:val="1"/>
              </w:numPr>
              <w:ind w:hanging="270"/>
              <w:rPr>
                <w:rFonts w:ascii="Lucida Grande" w:hAnsi="Lucida Grande"/>
                <w:sz w:val="20"/>
              </w:rPr>
            </w:pPr>
            <w:r>
              <w:rPr>
                <w:sz w:val="20"/>
              </w:rPr>
              <w:t xml:space="preserve">For SFM/REDD+ </w:t>
            </w:r>
          </w:p>
          <w:p w:rsidR="007B2875" w:rsidRDefault="00BF1DCA">
            <w:pPr>
              <w:numPr>
                <w:ilvl w:val="0"/>
                <w:numId w:val="1"/>
              </w:numPr>
              <w:ind w:hanging="270"/>
              <w:rPr>
                <w:rFonts w:ascii="Lucida Grande" w:hAnsi="Lucida Grande"/>
                <w:sz w:val="20"/>
              </w:rPr>
            </w:pPr>
            <w:r>
              <w:rPr>
                <w:sz w:val="20"/>
              </w:rPr>
              <w:t xml:space="preserve">For SGP                </w:t>
            </w:r>
          </w:p>
          <w:p w:rsidR="007B2875" w:rsidRDefault="00BF1DCA">
            <w:pPr>
              <w:numPr>
                <w:ilvl w:val="0"/>
                <w:numId w:val="1"/>
              </w:numPr>
              <w:ind w:hanging="270"/>
              <w:rPr>
                <w:sz w:val="20"/>
              </w:rPr>
            </w:pPr>
            <w:r>
              <w:rPr>
                <w:sz w:val="20"/>
              </w:rPr>
              <w:t xml:space="preserve">For PPP                 </w:t>
            </w:r>
          </w:p>
        </w:tc>
        <w:tc>
          <w:tcPr>
            <w:tcW w:w="281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216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Project Agency Fee ($):</w:t>
            </w:r>
          </w:p>
        </w:tc>
        <w:tc>
          <w:tcPr>
            <w:tcW w:w="209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1173A3">
            <w:pPr>
              <w:rPr>
                <w:sz w:val="20"/>
              </w:rPr>
            </w:pPr>
            <w:r>
              <w:rPr>
                <w:sz w:val="20"/>
              </w:rPr>
              <w:t>190,000</w:t>
            </w:r>
          </w:p>
        </w:tc>
      </w:tr>
    </w:tbl>
    <w:p w:rsidR="007B2875" w:rsidRDefault="007B2875">
      <w:pPr>
        <w:pStyle w:val="FreeForm"/>
        <w:ind w:left="5"/>
        <w:rPr>
          <w:rFonts w:ascii="Times New Roman Bold" w:hAnsi="Times New Roman Bold"/>
          <w:caps/>
          <w:color w:val="2586F6"/>
          <w:sz w:val="22"/>
          <w:u w:val="single"/>
        </w:rPr>
      </w:pPr>
    </w:p>
    <w:p w:rsidR="007B2875" w:rsidRDefault="007B2875">
      <w:pPr>
        <w:pStyle w:val="FreeFormA"/>
        <w:rPr>
          <w:rFonts w:ascii="Times New Roman Bold" w:hAnsi="Times New Roman Bold"/>
          <w:caps/>
          <w:color w:val="2586F6"/>
          <w:sz w:val="22"/>
          <w:u w:val="single"/>
        </w:rPr>
      </w:pPr>
    </w:p>
    <w:p w:rsidR="007B2875" w:rsidRDefault="00BF1DCA">
      <w:pPr>
        <w:pStyle w:val="Footer1"/>
        <w:tabs>
          <w:tab w:val="clear" w:pos="4320"/>
          <w:tab w:val="clear" w:pos="8640"/>
        </w:tabs>
        <w:spacing w:before="120" w:after="80"/>
        <w:rPr>
          <w:rFonts w:ascii="Times New Roman Bold" w:hAnsi="Times New Roman Bold"/>
          <w:smallCaps/>
        </w:rPr>
      </w:pPr>
      <w:r>
        <w:rPr>
          <w:rFonts w:ascii="Times New Roman Bold" w:hAnsi="Times New Roman Bold"/>
          <w:smallCaps/>
          <w:sz w:val="22"/>
        </w:rPr>
        <w:t xml:space="preserve">A.  indicative </w:t>
      </w:r>
      <w:hyperlink r:id="rId9" w:history="1">
        <w:r>
          <w:rPr>
            <w:rStyle w:val="Hyperlink1"/>
            <w:rFonts w:ascii="Times New Roman Bold" w:hAnsi="Times New Roman Bold"/>
            <w:smallCaps/>
            <w:color w:val="000000"/>
            <w:sz w:val="22"/>
            <w:u w:val="none"/>
          </w:rPr>
          <w:t>Focal AREA STRATEGY Framework</w:t>
        </w:r>
      </w:hyperlink>
      <w:r>
        <w:rPr>
          <w:rStyle w:val="FootnoteReference1"/>
          <w:rFonts w:ascii="Times New Roman Bold" w:hAnsi="Times New Roman Bold"/>
          <w:smallCaps/>
          <w:sz w:val="24"/>
        </w:rPr>
        <w:footnoteReference w:id="1"/>
      </w:r>
      <w:r>
        <w:rPr>
          <w:rFonts w:ascii="Times New Roman Bold" w:hAnsi="Times New Roman Bold"/>
          <w:smallCaps/>
        </w:rPr>
        <w:t>:</w:t>
      </w:r>
    </w:p>
    <w:tbl>
      <w:tblPr>
        <w:tblW w:w="0" w:type="auto"/>
        <w:jc w:val="center"/>
        <w:tblLayout w:type="fixed"/>
        <w:tblLook w:val="0000"/>
      </w:tblPr>
      <w:tblGrid>
        <w:gridCol w:w="5250"/>
        <w:gridCol w:w="1250"/>
        <w:gridCol w:w="1487"/>
        <w:gridCol w:w="1189"/>
        <w:gridCol w:w="170"/>
      </w:tblGrid>
      <w:tr w:rsidR="007B2875">
        <w:trPr>
          <w:cantSplit/>
          <w:trHeight w:val="650"/>
          <w:jc w:val="center"/>
        </w:trPr>
        <w:tc>
          <w:tcPr>
            <w:tcW w:w="5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7B2875" w:rsidRDefault="00BF1DCA">
            <w:pPr>
              <w:pStyle w:val="Heading3AA"/>
              <w:ind w:left="72"/>
              <w:jc w:val="center"/>
              <w:rPr>
                <w:sz w:val="20"/>
              </w:rPr>
            </w:pPr>
            <w:r>
              <w:rPr>
                <w:sz w:val="20"/>
              </w:rPr>
              <w:t>Focal Area Objectives</w:t>
            </w:r>
          </w:p>
        </w:tc>
        <w:tc>
          <w:tcPr>
            <w:tcW w:w="1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pStyle w:val="Heading3AA"/>
              <w:jc w:val="center"/>
              <w:rPr>
                <w:sz w:val="20"/>
              </w:rPr>
            </w:pPr>
            <w:r>
              <w:rPr>
                <w:sz w:val="20"/>
              </w:rPr>
              <w:t>Trust Fund</w:t>
            </w:r>
          </w:p>
        </w:tc>
        <w:tc>
          <w:tcPr>
            <w:tcW w:w="148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7B2875" w:rsidRDefault="00BF1DCA">
            <w:pPr>
              <w:pStyle w:val="Heading3AA"/>
              <w:jc w:val="center"/>
              <w:rPr>
                <w:sz w:val="20"/>
              </w:rPr>
            </w:pPr>
            <w:r>
              <w:rPr>
                <w:sz w:val="20"/>
              </w:rPr>
              <w:t xml:space="preserve">Indicative  </w:t>
            </w:r>
          </w:p>
          <w:p w:rsidR="007B2875" w:rsidRDefault="00BF1DCA">
            <w:pPr>
              <w:pStyle w:val="Heading3AA"/>
              <w:jc w:val="center"/>
              <w:rPr>
                <w:sz w:val="20"/>
              </w:rPr>
            </w:pPr>
            <w:r>
              <w:rPr>
                <w:sz w:val="20"/>
              </w:rPr>
              <w:t>Grant Amount</w:t>
            </w:r>
          </w:p>
          <w:p w:rsidR="007B2875" w:rsidRDefault="00BF1DCA">
            <w:pPr>
              <w:pStyle w:val="Heading3AA"/>
              <w:jc w:val="center"/>
              <w:rPr>
                <w:sz w:val="20"/>
              </w:rPr>
            </w:pPr>
            <w:r>
              <w:rPr>
                <w:sz w:val="20"/>
              </w:rPr>
              <w:t xml:space="preserve">($) </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7B2875" w:rsidRDefault="00BF1DCA">
            <w:pPr>
              <w:pStyle w:val="Heading3AA"/>
              <w:jc w:val="center"/>
              <w:rPr>
                <w:sz w:val="20"/>
              </w:rPr>
            </w:pPr>
            <w:r>
              <w:rPr>
                <w:sz w:val="20"/>
              </w:rPr>
              <w:t>Indicative Co-financing</w:t>
            </w:r>
          </w:p>
          <w:p w:rsidR="007B2875" w:rsidRDefault="00BF1DCA">
            <w:pPr>
              <w:pStyle w:val="Heading3AA"/>
              <w:jc w:val="center"/>
              <w:rPr>
                <w:sz w:val="20"/>
              </w:rPr>
            </w:pPr>
            <w:r>
              <w:rPr>
                <w:sz w:val="20"/>
              </w:rPr>
              <w:t xml:space="preserve">($) </w:t>
            </w:r>
          </w:p>
        </w:tc>
        <w:tc>
          <w:tcPr>
            <w:tcW w:w="170" w:type="dxa"/>
            <w:tcBorders>
              <w:top w:val="none" w:sz="8" w:space="0" w:color="000000"/>
              <w:left w:val="single" w:sz="4" w:space="0" w:color="000000"/>
              <w:bottom w:val="none" w:sz="8" w:space="0" w:color="000000"/>
              <w:right w:val="none" w:sz="8" w:space="0" w:color="000000"/>
            </w:tcBorders>
            <w:shd w:val="clear" w:color="auto" w:fill="auto"/>
            <w:tcMar>
              <w:top w:w="0" w:type="dxa"/>
              <w:left w:w="0" w:type="dxa"/>
              <w:bottom w:w="0" w:type="dxa"/>
              <w:right w:w="0" w:type="dxa"/>
            </w:tcMar>
          </w:tcPr>
          <w:p w:rsidR="007B2875" w:rsidRDefault="007B2875">
            <w:pPr>
              <w:pStyle w:val="FreeFormA"/>
            </w:pPr>
          </w:p>
        </w:tc>
      </w:tr>
      <w:tr w:rsidR="007B2875">
        <w:trPr>
          <w:cantSplit/>
          <w:trHeight w:val="300"/>
          <w:jc w:val="center"/>
        </w:trPr>
        <w:tc>
          <w:tcPr>
            <w:tcW w:w="5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xml:space="preserve">CCM -5 </w:t>
            </w:r>
          </w:p>
        </w:tc>
        <w:tc>
          <w:tcPr>
            <w:tcW w:w="1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tc>
        <w:tc>
          <w:tcPr>
            <w:tcW w:w="148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rsidP="001173A3">
            <w:pPr>
              <w:jc w:val="right"/>
              <w:rPr>
                <w:sz w:val="20"/>
              </w:rPr>
            </w:pPr>
            <w:r>
              <w:rPr>
                <w:sz w:val="20"/>
              </w:rPr>
              <w:t>2</w:t>
            </w:r>
            <w:r w:rsidR="001173A3">
              <w:rPr>
                <w:sz w:val="20"/>
              </w:rPr>
              <w:t>,201,614</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7,015,500</w:t>
            </w:r>
          </w:p>
        </w:tc>
        <w:tc>
          <w:tcPr>
            <w:tcW w:w="170" w:type="dxa"/>
            <w:tcBorders>
              <w:top w:val="none" w:sz="8" w:space="0" w:color="000000"/>
              <w:left w:val="single" w:sz="4" w:space="0" w:color="000000"/>
              <w:bottom w:val="none" w:sz="8" w:space="0" w:color="000000"/>
              <w:right w:val="none" w:sz="8" w:space="0" w:color="000000"/>
            </w:tcBorders>
            <w:shd w:val="clear" w:color="auto" w:fill="auto"/>
            <w:tcMar>
              <w:top w:w="0" w:type="dxa"/>
              <w:left w:w="0" w:type="dxa"/>
              <w:bottom w:w="0" w:type="dxa"/>
              <w:right w:w="0" w:type="dxa"/>
            </w:tcMar>
          </w:tcPr>
          <w:p w:rsidR="007B2875" w:rsidRDefault="007B2875">
            <w:pPr>
              <w:pStyle w:val="FreeFormA"/>
            </w:pPr>
          </w:p>
        </w:tc>
      </w:tr>
      <w:tr w:rsidR="007B2875">
        <w:trPr>
          <w:cantSplit/>
          <w:trHeight w:val="300"/>
          <w:jc w:val="center"/>
        </w:trPr>
        <w:tc>
          <w:tcPr>
            <w:tcW w:w="5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xml:space="preserve">   </w:t>
            </w:r>
          </w:p>
        </w:tc>
        <w:tc>
          <w:tcPr>
            <w:tcW w:w="1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tc>
        <w:tc>
          <w:tcPr>
            <w:tcW w:w="148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c>
          <w:tcPr>
            <w:tcW w:w="170" w:type="dxa"/>
            <w:tcBorders>
              <w:top w:val="none" w:sz="8" w:space="0" w:color="000000"/>
              <w:left w:val="single" w:sz="4" w:space="0" w:color="000000"/>
              <w:bottom w:val="none" w:sz="8" w:space="0" w:color="000000"/>
              <w:right w:val="none" w:sz="8" w:space="0" w:color="000000"/>
            </w:tcBorders>
            <w:shd w:val="clear" w:color="auto" w:fill="auto"/>
            <w:tcMar>
              <w:top w:w="0" w:type="dxa"/>
              <w:left w:w="0" w:type="dxa"/>
              <w:bottom w:w="0" w:type="dxa"/>
              <w:right w:w="0" w:type="dxa"/>
            </w:tcMar>
          </w:tcPr>
          <w:p w:rsidR="007B2875" w:rsidRDefault="007B2875">
            <w:pPr>
              <w:pStyle w:val="FreeFormA"/>
            </w:pPr>
          </w:p>
        </w:tc>
      </w:tr>
      <w:tr w:rsidR="007B2875">
        <w:trPr>
          <w:cantSplit/>
          <w:trHeight w:val="300"/>
          <w:jc w:val="center"/>
        </w:trPr>
        <w:tc>
          <w:tcPr>
            <w:tcW w:w="5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xml:space="preserve">   </w:t>
            </w:r>
          </w:p>
        </w:tc>
        <w:tc>
          <w:tcPr>
            <w:tcW w:w="1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tc>
        <w:tc>
          <w:tcPr>
            <w:tcW w:w="148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c>
          <w:tcPr>
            <w:tcW w:w="170" w:type="dxa"/>
            <w:tcBorders>
              <w:top w:val="none" w:sz="8" w:space="0" w:color="000000"/>
              <w:left w:val="single" w:sz="4" w:space="0" w:color="000000"/>
              <w:bottom w:val="none" w:sz="8" w:space="0" w:color="000000"/>
              <w:right w:val="none" w:sz="8" w:space="0" w:color="000000"/>
            </w:tcBorders>
            <w:shd w:val="clear" w:color="auto" w:fill="auto"/>
            <w:tcMar>
              <w:top w:w="0" w:type="dxa"/>
              <w:left w:w="0" w:type="dxa"/>
              <w:bottom w:w="0" w:type="dxa"/>
              <w:right w:w="0" w:type="dxa"/>
            </w:tcMar>
          </w:tcPr>
          <w:p w:rsidR="007B2875" w:rsidRDefault="007B2875">
            <w:pPr>
              <w:pStyle w:val="FreeFormA"/>
            </w:pPr>
          </w:p>
        </w:tc>
      </w:tr>
      <w:tr w:rsidR="007B2875">
        <w:trPr>
          <w:cantSplit/>
          <w:trHeight w:val="300"/>
          <w:jc w:val="center"/>
        </w:trPr>
        <w:tc>
          <w:tcPr>
            <w:tcW w:w="5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xml:space="preserve">   </w:t>
            </w:r>
          </w:p>
        </w:tc>
        <w:tc>
          <w:tcPr>
            <w:tcW w:w="1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tc>
        <w:tc>
          <w:tcPr>
            <w:tcW w:w="148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c>
          <w:tcPr>
            <w:tcW w:w="170" w:type="dxa"/>
            <w:tcBorders>
              <w:top w:val="none" w:sz="8" w:space="0" w:color="000000"/>
              <w:left w:val="single" w:sz="4" w:space="0" w:color="000000"/>
              <w:bottom w:val="none" w:sz="8" w:space="0" w:color="000000"/>
              <w:right w:val="none" w:sz="8" w:space="0" w:color="000000"/>
            </w:tcBorders>
            <w:shd w:val="clear" w:color="auto" w:fill="auto"/>
            <w:tcMar>
              <w:top w:w="0" w:type="dxa"/>
              <w:left w:w="0" w:type="dxa"/>
              <w:bottom w:w="0" w:type="dxa"/>
              <w:right w:w="0" w:type="dxa"/>
            </w:tcMar>
          </w:tcPr>
          <w:p w:rsidR="007B2875" w:rsidRDefault="007B2875">
            <w:pPr>
              <w:pStyle w:val="FreeFormA"/>
            </w:pPr>
          </w:p>
        </w:tc>
      </w:tr>
      <w:tr w:rsidR="007B2875">
        <w:trPr>
          <w:cantSplit/>
          <w:trHeight w:val="300"/>
          <w:jc w:val="center"/>
        </w:trPr>
        <w:tc>
          <w:tcPr>
            <w:tcW w:w="5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xml:space="preserve">   </w:t>
            </w:r>
          </w:p>
        </w:tc>
        <w:tc>
          <w:tcPr>
            <w:tcW w:w="1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tc>
        <w:tc>
          <w:tcPr>
            <w:tcW w:w="148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c>
          <w:tcPr>
            <w:tcW w:w="170" w:type="dxa"/>
            <w:tcBorders>
              <w:top w:val="none" w:sz="8" w:space="0" w:color="000000"/>
              <w:left w:val="single" w:sz="4" w:space="0" w:color="000000"/>
              <w:bottom w:val="none" w:sz="8" w:space="0" w:color="000000"/>
              <w:right w:val="none" w:sz="8" w:space="0" w:color="000000"/>
            </w:tcBorders>
            <w:shd w:val="clear" w:color="auto" w:fill="auto"/>
            <w:tcMar>
              <w:top w:w="0" w:type="dxa"/>
              <w:left w:w="0" w:type="dxa"/>
              <w:bottom w:w="0" w:type="dxa"/>
              <w:right w:w="0" w:type="dxa"/>
            </w:tcMar>
          </w:tcPr>
          <w:p w:rsidR="007B2875" w:rsidRDefault="007B2875">
            <w:pPr>
              <w:pStyle w:val="FreeFormA"/>
            </w:pPr>
          </w:p>
        </w:tc>
      </w:tr>
      <w:tr w:rsidR="007B2875">
        <w:trPr>
          <w:cantSplit/>
          <w:trHeight w:val="300"/>
          <w:jc w:val="center"/>
        </w:trPr>
        <w:tc>
          <w:tcPr>
            <w:tcW w:w="5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xml:space="preserve">   </w:t>
            </w:r>
          </w:p>
        </w:tc>
        <w:tc>
          <w:tcPr>
            <w:tcW w:w="1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tc>
        <w:tc>
          <w:tcPr>
            <w:tcW w:w="148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c>
          <w:tcPr>
            <w:tcW w:w="170" w:type="dxa"/>
            <w:tcBorders>
              <w:top w:val="none" w:sz="8" w:space="0" w:color="000000"/>
              <w:left w:val="single" w:sz="4" w:space="0" w:color="000000"/>
              <w:bottom w:val="none" w:sz="8" w:space="0" w:color="000000"/>
              <w:right w:val="none" w:sz="8" w:space="0" w:color="000000"/>
            </w:tcBorders>
            <w:shd w:val="clear" w:color="auto" w:fill="auto"/>
            <w:tcMar>
              <w:top w:w="0" w:type="dxa"/>
              <w:left w:w="0" w:type="dxa"/>
              <w:bottom w:w="0" w:type="dxa"/>
              <w:right w:w="0" w:type="dxa"/>
            </w:tcMar>
          </w:tcPr>
          <w:p w:rsidR="007B2875" w:rsidRDefault="007B2875">
            <w:pPr>
              <w:pStyle w:val="FreeFormA"/>
            </w:pPr>
          </w:p>
        </w:tc>
      </w:tr>
      <w:tr w:rsidR="007B2875">
        <w:trPr>
          <w:cantSplit/>
          <w:trHeight w:val="300"/>
          <w:jc w:val="center"/>
        </w:trPr>
        <w:tc>
          <w:tcPr>
            <w:tcW w:w="5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xml:space="preserve">   </w:t>
            </w:r>
          </w:p>
        </w:tc>
        <w:tc>
          <w:tcPr>
            <w:tcW w:w="1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tc>
        <w:tc>
          <w:tcPr>
            <w:tcW w:w="148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c>
          <w:tcPr>
            <w:tcW w:w="170" w:type="dxa"/>
            <w:tcBorders>
              <w:top w:val="none" w:sz="8" w:space="0" w:color="000000"/>
              <w:left w:val="single" w:sz="4" w:space="0" w:color="000000"/>
              <w:bottom w:val="none" w:sz="8" w:space="0" w:color="000000"/>
              <w:right w:val="none" w:sz="8" w:space="0" w:color="000000"/>
            </w:tcBorders>
            <w:shd w:val="clear" w:color="auto" w:fill="auto"/>
            <w:tcMar>
              <w:top w:w="0" w:type="dxa"/>
              <w:left w:w="0" w:type="dxa"/>
              <w:bottom w:w="0" w:type="dxa"/>
              <w:right w:w="0" w:type="dxa"/>
            </w:tcMar>
          </w:tcPr>
          <w:p w:rsidR="007B2875" w:rsidRDefault="007B2875">
            <w:pPr>
              <w:pStyle w:val="FreeFormA"/>
            </w:pPr>
          </w:p>
        </w:tc>
      </w:tr>
      <w:tr w:rsidR="007B2875">
        <w:trPr>
          <w:cantSplit/>
          <w:trHeight w:val="300"/>
          <w:jc w:val="center"/>
        </w:trPr>
        <w:tc>
          <w:tcPr>
            <w:tcW w:w="5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xml:space="preserve">   </w:t>
            </w:r>
          </w:p>
        </w:tc>
        <w:tc>
          <w:tcPr>
            <w:tcW w:w="1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tc>
        <w:tc>
          <w:tcPr>
            <w:tcW w:w="148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c>
          <w:tcPr>
            <w:tcW w:w="170" w:type="dxa"/>
            <w:tcBorders>
              <w:top w:val="none" w:sz="8" w:space="0" w:color="000000"/>
              <w:left w:val="single" w:sz="4" w:space="0" w:color="000000"/>
              <w:bottom w:val="none" w:sz="8" w:space="0" w:color="000000"/>
              <w:right w:val="none" w:sz="8" w:space="0" w:color="000000"/>
            </w:tcBorders>
            <w:shd w:val="clear" w:color="auto" w:fill="auto"/>
            <w:tcMar>
              <w:top w:w="0" w:type="dxa"/>
              <w:left w:w="0" w:type="dxa"/>
              <w:bottom w:w="0" w:type="dxa"/>
              <w:right w:w="0" w:type="dxa"/>
            </w:tcMar>
          </w:tcPr>
          <w:p w:rsidR="007B2875" w:rsidRDefault="007B2875">
            <w:pPr>
              <w:pStyle w:val="FreeFormA"/>
            </w:pPr>
          </w:p>
        </w:tc>
      </w:tr>
      <w:tr w:rsidR="007B2875">
        <w:trPr>
          <w:cantSplit/>
          <w:trHeight w:val="300"/>
          <w:jc w:val="center"/>
        </w:trPr>
        <w:tc>
          <w:tcPr>
            <w:tcW w:w="5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xml:space="preserve">   </w:t>
            </w:r>
          </w:p>
        </w:tc>
        <w:tc>
          <w:tcPr>
            <w:tcW w:w="1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tc>
        <w:tc>
          <w:tcPr>
            <w:tcW w:w="148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c>
          <w:tcPr>
            <w:tcW w:w="118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c>
          <w:tcPr>
            <w:tcW w:w="170" w:type="dxa"/>
            <w:tcBorders>
              <w:top w:val="none" w:sz="8" w:space="0" w:color="000000"/>
              <w:left w:val="single" w:sz="4" w:space="0" w:color="000000"/>
              <w:bottom w:val="single" w:sz="4" w:space="0" w:color="000000"/>
              <w:right w:val="none" w:sz="8" w:space="0" w:color="000000"/>
            </w:tcBorders>
            <w:shd w:val="clear" w:color="auto" w:fill="auto"/>
            <w:tcMar>
              <w:top w:w="0" w:type="dxa"/>
              <w:left w:w="0" w:type="dxa"/>
              <w:bottom w:w="0" w:type="dxa"/>
              <w:right w:w="0" w:type="dxa"/>
            </w:tcMar>
          </w:tcPr>
          <w:p w:rsidR="007B2875" w:rsidRDefault="007B2875">
            <w:pPr>
              <w:pStyle w:val="FreeFormA"/>
            </w:pPr>
          </w:p>
        </w:tc>
      </w:tr>
      <w:tr w:rsidR="007B2875">
        <w:trPr>
          <w:cantSplit/>
          <w:trHeight w:val="310"/>
          <w:jc w:val="center"/>
        </w:trPr>
        <w:tc>
          <w:tcPr>
            <w:tcW w:w="5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Total Project Cost</w:t>
            </w:r>
          </w:p>
        </w:tc>
        <w:tc>
          <w:tcPr>
            <w:tcW w:w="1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pPr>
              <w:jc w:val="right"/>
            </w:pPr>
          </w:p>
        </w:tc>
        <w:tc>
          <w:tcPr>
            <w:tcW w:w="148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1173A3">
            <w:pPr>
              <w:jc w:val="right"/>
              <w:rPr>
                <w:sz w:val="20"/>
              </w:rPr>
            </w:pPr>
            <w:r>
              <w:rPr>
                <w:sz w:val="20"/>
              </w:rPr>
              <w:t>2,201,614</w:t>
            </w:r>
          </w:p>
        </w:tc>
        <w:tc>
          <w:tcPr>
            <w:tcW w:w="1359"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7,015,500</w:t>
            </w:r>
          </w:p>
        </w:tc>
      </w:tr>
    </w:tbl>
    <w:p w:rsidR="007B2875" w:rsidRDefault="007B2875">
      <w:pPr>
        <w:pStyle w:val="FreeForm"/>
        <w:jc w:val="center"/>
        <w:rPr>
          <w:rFonts w:ascii="Times New Roman Bold" w:hAnsi="Times New Roman Bold"/>
          <w:smallCaps/>
          <w:sz w:val="24"/>
        </w:rPr>
      </w:pPr>
    </w:p>
    <w:p w:rsidR="007B2875" w:rsidRDefault="007B2875">
      <w:pPr>
        <w:pStyle w:val="FreeFormA"/>
        <w:jc w:val="center"/>
        <w:rPr>
          <w:rFonts w:ascii="Times New Roman Bold" w:hAnsi="Times New Roman Bold"/>
          <w:smallCaps/>
          <w:sz w:val="24"/>
        </w:rPr>
      </w:pPr>
    </w:p>
    <w:p w:rsidR="007B2875" w:rsidRDefault="00BF1DCA">
      <w:pPr>
        <w:pStyle w:val="Footer1"/>
        <w:numPr>
          <w:ilvl w:val="0"/>
          <w:numId w:val="2"/>
        </w:numPr>
        <w:tabs>
          <w:tab w:val="clear" w:pos="4320"/>
          <w:tab w:val="clear" w:pos="8640"/>
        </w:tabs>
        <w:spacing w:before="120" w:after="80"/>
        <w:ind w:hanging="720"/>
        <w:rPr>
          <w:rFonts w:ascii="Times New Roman Bold" w:hAnsi="Times New Roman Bold"/>
          <w:smallCaps/>
          <w:sz w:val="22"/>
        </w:rPr>
      </w:pPr>
      <w:r>
        <w:rPr>
          <w:rFonts w:ascii="Times New Roman Bold" w:hAnsi="Times New Roman Bold"/>
          <w:smallCaps/>
          <w:sz w:val="22"/>
        </w:rPr>
        <w:t>indicative Project description summary</w:t>
      </w:r>
    </w:p>
    <w:tbl>
      <w:tblPr>
        <w:tblW w:w="0" w:type="auto"/>
        <w:jc w:val="center"/>
        <w:tblLayout w:type="fixed"/>
        <w:tblLook w:val="0000"/>
      </w:tblPr>
      <w:tblGrid>
        <w:gridCol w:w="1860"/>
        <w:gridCol w:w="766"/>
        <w:gridCol w:w="1914"/>
        <w:gridCol w:w="1855"/>
        <w:gridCol w:w="765"/>
        <w:gridCol w:w="1070"/>
        <w:gridCol w:w="1119"/>
      </w:tblGrid>
      <w:tr w:rsidR="007B2875">
        <w:trPr>
          <w:cantSplit/>
          <w:trHeight w:val="660"/>
          <w:jc w:val="center"/>
        </w:trPr>
        <w:tc>
          <w:tcPr>
            <w:tcW w:w="9349"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7B2875" w:rsidRDefault="00BF1DCA">
            <w:pPr>
              <w:pStyle w:val="Heading3AA"/>
              <w:rPr>
                <w:sz w:val="20"/>
              </w:rPr>
            </w:pPr>
            <w:r>
              <w:rPr>
                <w:sz w:val="20"/>
              </w:rPr>
              <w:lastRenderedPageBreak/>
              <w:t xml:space="preserve">Project Objective:  </w:t>
            </w:r>
            <w:r>
              <w:rPr>
                <w:rFonts w:ascii="Times New Roman" w:hAnsi="Times New Roman"/>
                <w:sz w:val="20"/>
              </w:rPr>
              <w:t>To avoid and reduce green-house gases (GHG) emissions from deforestation and enhance carbon stocks in the Dry Chaco Forest Complex (DCFC) of Western Paraguay through the establishment of a stakeholder Payment for Ecosystem Services (PES) incentive scheme</w:t>
            </w:r>
            <w:r>
              <w:rPr>
                <w:sz w:val="20"/>
              </w:rPr>
              <w:t xml:space="preserve"> </w:t>
            </w:r>
          </w:p>
        </w:tc>
      </w:tr>
      <w:tr w:rsidR="007B2875">
        <w:trPr>
          <w:cantSplit/>
          <w:trHeight w:val="660"/>
          <w:jc w:val="center"/>
        </w:trPr>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7B2875" w:rsidRDefault="00BF1DCA">
            <w:pPr>
              <w:pStyle w:val="Heading3AA"/>
              <w:ind w:left="72"/>
              <w:jc w:val="center"/>
              <w:rPr>
                <w:sz w:val="20"/>
              </w:rPr>
            </w:pPr>
            <w:r>
              <w:rPr>
                <w:sz w:val="20"/>
              </w:rPr>
              <w:t>Project Component</w:t>
            </w:r>
          </w:p>
        </w:tc>
        <w:tc>
          <w:tcPr>
            <w:tcW w:w="76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7B2875" w:rsidRDefault="00BF1DCA">
            <w:pPr>
              <w:pStyle w:val="Heading3AA"/>
              <w:ind w:left="72"/>
              <w:jc w:val="center"/>
              <w:rPr>
                <w:sz w:val="20"/>
              </w:rPr>
            </w:pPr>
            <w:r>
              <w:rPr>
                <w:sz w:val="20"/>
              </w:rPr>
              <w:t>Grant Type</w:t>
            </w:r>
          </w:p>
          <w:p w:rsidR="007B2875" w:rsidRDefault="007B2875">
            <w:pPr>
              <w:pStyle w:val="Heading3AA"/>
              <w:ind w:left="72"/>
              <w:jc w:val="center"/>
            </w:pPr>
          </w:p>
        </w:tc>
        <w:tc>
          <w:tcPr>
            <w:tcW w:w="191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7B2875" w:rsidRDefault="00BF1DCA">
            <w:pPr>
              <w:pStyle w:val="Heading3AA"/>
              <w:ind w:left="72"/>
              <w:jc w:val="center"/>
              <w:rPr>
                <w:sz w:val="20"/>
              </w:rPr>
            </w:pPr>
            <w:r>
              <w:rPr>
                <w:sz w:val="20"/>
              </w:rPr>
              <w:t>Expected Outcomes</w:t>
            </w:r>
          </w:p>
        </w:tc>
        <w:tc>
          <w:tcPr>
            <w:tcW w:w="185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pPr>
              <w:pStyle w:val="Heading3AA"/>
              <w:jc w:val="center"/>
              <w:rPr>
                <w:sz w:val="20"/>
              </w:rPr>
            </w:pPr>
          </w:p>
          <w:p w:rsidR="007B2875" w:rsidRDefault="00BF1DCA">
            <w:pPr>
              <w:pStyle w:val="Heading3AA"/>
              <w:jc w:val="center"/>
              <w:rPr>
                <w:sz w:val="20"/>
              </w:rPr>
            </w:pPr>
            <w:r>
              <w:rPr>
                <w:sz w:val="20"/>
              </w:rPr>
              <w:t>Expected Outputs</w:t>
            </w:r>
          </w:p>
        </w:tc>
        <w:tc>
          <w:tcPr>
            <w:tcW w:w="76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pStyle w:val="Heading3AA"/>
              <w:jc w:val="center"/>
              <w:rPr>
                <w:sz w:val="20"/>
              </w:rPr>
            </w:pPr>
            <w:r>
              <w:rPr>
                <w:sz w:val="20"/>
              </w:rPr>
              <w:t>Trust Fund</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pStyle w:val="Heading3AA"/>
              <w:jc w:val="center"/>
              <w:rPr>
                <w:sz w:val="20"/>
              </w:rPr>
            </w:pPr>
            <w:r>
              <w:rPr>
                <w:sz w:val="20"/>
              </w:rPr>
              <w:t xml:space="preserve">Indicative </w:t>
            </w:r>
          </w:p>
          <w:p w:rsidR="007B2875" w:rsidRDefault="00BF1DCA">
            <w:pPr>
              <w:pStyle w:val="Heading3AA"/>
              <w:jc w:val="center"/>
              <w:rPr>
                <w:sz w:val="20"/>
              </w:rPr>
            </w:pPr>
            <w:r>
              <w:rPr>
                <w:sz w:val="20"/>
              </w:rPr>
              <w:t xml:space="preserve">Grant Amount ($) </w:t>
            </w:r>
          </w:p>
        </w:tc>
        <w:tc>
          <w:tcPr>
            <w:tcW w:w="111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pStyle w:val="Heading3AA"/>
              <w:jc w:val="center"/>
              <w:rPr>
                <w:sz w:val="20"/>
              </w:rPr>
            </w:pPr>
            <w:r>
              <w:rPr>
                <w:sz w:val="20"/>
              </w:rPr>
              <w:t xml:space="preserve">Indicative </w:t>
            </w:r>
            <w:proofErr w:type="spellStart"/>
            <w:r>
              <w:rPr>
                <w:sz w:val="20"/>
              </w:rPr>
              <w:t>Cofinancing</w:t>
            </w:r>
            <w:proofErr w:type="spellEnd"/>
          </w:p>
          <w:p w:rsidR="007B2875" w:rsidRDefault="00BF1DCA">
            <w:pPr>
              <w:pStyle w:val="Heading3AA"/>
              <w:jc w:val="center"/>
              <w:rPr>
                <w:sz w:val="20"/>
              </w:rPr>
            </w:pPr>
            <w:r>
              <w:rPr>
                <w:sz w:val="20"/>
              </w:rPr>
              <w:t xml:space="preserve">($) </w:t>
            </w:r>
          </w:p>
        </w:tc>
      </w:tr>
      <w:tr w:rsidR="007B2875">
        <w:trPr>
          <w:cantSplit/>
          <w:trHeight w:val="9680"/>
          <w:jc w:val="center"/>
        </w:trPr>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rFonts w:ascii="Times New Roman Bold" w:hAnsi="Times New Roman Bold"/>
                <w:sz w:val="20"/>
              </w:rPr>
              <w:t>Component 1</w:t>
            </w:r>
            <w:r>
              <w:rPr>
                <w:sz w:val="20"/>
              </w:rPr>
              <w:t>: Establishment of an incentive PES program to avoid and reduce GHG emissions from deforestation and degradation and/or enhance carbon stocks in the DCFC.</w:t>
            </w:r>
          </w:p>
        </w:tc>
        <w:tc>
          <w:tcPr>
            <w:tcW w:w="76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Inv</w:t>
            </w:r>
          </w:p>
        </w:tc>
        <w:tc>
          <w:tcPr>
            <w:tcW w:w="191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1. At least 100,000 hectares of additional natural areas with high carbon+ (biodiversity and cultural) values set aside for conservation by the end of the project</w:t>
            </w:r>
          </w:p>
          <w:p w:rsidR="007B2875" w:rsidRDefault="007B2875">
            <w:pPr>
              <w:rPr>
                <w:sz w:val="20"/>
              </w:rPr>
            </w:pPr>
          </w:p>
          <w:p w:rsidR="007B2875" w:rsidRDefault="00BF1DCA">
            <w:pPr>
              <w:rPr>
                <w:sz w:val="20"/>
              </w:rPr>
            </w:pPr>
            <w:r>
              <w:rPr>
                <w:sz w:val="20"/>
              </w:rPr>
              <w:t>2. Sustainable land use practices to reduce GHG emissions and/or enhance carbon stock in 10,000 hectares of productive landscapes adopted by the end of the project</w:t>
            </w:r>
          </w:p>
          <w:p w:rsidR="007B2875" w:rsidRDefault="007B2875">
            <w:pPr>
              <w:rPr>
                <w:sz w:val="20"/>
              </w:rPr>
            </w:pPr>
          </w:p>
          <w:p w:rsidR="007B2875" w:rsidRDefault="00BF1DCA">
            <w:pPr>
              <w:rPr>
                <w:sz w:val="20"/>
              </w:rPr>
            </w:pPr>
            <w:r>
              <w:rPr>
                <w:sz w:val="20"/>
              </w:rPr>
              <w:t>3. At least 21 million tCO2e emissions from deforestation and forest degradation in key areas avoided or reduced by the end of the project</w:t>
            </w:r>
          </w:p>
        </w:tc>
        <w:tc>
          <w:tcPr>
            <w:tcW w:w="185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1. Design of the institutional, legal and technical aspects of the PES incentive program completed by the second quarter of the project</w:t>
            </w:r>
          </w:p>
          <w:p w:rsidR="007B2875" w:rsidRDefault="007B2875">
            <w:pPr>
              <w:rPr>
                <w:sz w:val="20"/>
              </w:rPr>
            </w:pPr>
          </w:p>
          <w:p w:rsidR="007B2875" w:rsidRDefault="00BF1DCA">
            <w:pPr>
              <w:rPr>
                <w:sz w:val="20"/>
              </w:rPr>
            </w:pPr>
            <w:r>
              <w:rPr>
                <w:sz w:val="20"/>
              </w:rPr>
              <w:t>2. PES incentive program for carbon+ with a multi-</w:t>
            </w:r>
            <w:proofErr w:type="spellStart"/>
            <w:r>
              <w:rPr>
                <w:sz w:val="20"/>
              </w:rPr>
              <w:t>sectoral</w:t>
            </w:r>
            <w:proofErr w:type="spellEnd"/>
            <w:r>
              <w:rPr>
                <w:sz w:val="20"/>
              </w:rPr>
              <w:t xml:space="preserve"> board of directors established by the third quarter of the project</w:t>
            </w:r>
          </w:p>
          <w:p w:rsidR="007B2875" w:rsidRDefault="007B2875">
            <w:pPr>
              <w:rPr>
                <w:sz w:val="20"/>
              </w:rPr>
            </w:pPr>
          </w:p>
          <w:p w:rsidR="007B2875" w:rsidRDefault="00BF1DCA">
            <w:pPr>
              <w:rPr>
                <w:sz w:val="20"/>
              </w:rPr>
            </w:pPr>
            <w:r>
              <w:rPr>
                <w:sz w:val="20"/>
              </w:rPr>
              <w:t>3. Landowners, adding together 100,000 hectares of priority areas, identified and their participation secured in the PES incentive program by the fourth quarter of the project</w:t>
            </w:r>
          </w:p>
          <w:p w:rsidR="007B2875" w:rsidRDefault="007B2875">
            <w:pPr>
              <w:rPr>
                <w:sz w:val="20"/>
              </w:rPr>
            </w:pPr>
          </w:p>
          <w:p w:rsidR="007B2875" w:rsidRDefault="00BF1DCA">
            <w:pPr>
              <w:rPr>
                <w:sz w:val="20"/>
              </w:rPr>
            </w:pPr>
            <w:r>
              <w:rPr>
                <w:sz w:val="20"/>
              </w:rPr>
              <w:t>4. Sustainable land use practices that conserve, restore, and/or enhance carbon stocks, which are viable for the environmental, social and economic conditions of the DCFC identified, systematized and adopted by stakeholders in priority areas, adding together 10,000 hectares, by the second quarter of the project</w:t>
            </w:r>
          </w:p>
        </w:tc>
        <w:tc>
          <w:tcPr>
            <w:tcW w:w="76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GEFTF</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rsidP="001173A3">
            <w:pPr>
              <w:jc w:val="right"/>
              <w:rPr>
                <w:sz w:val="20"/>
              </w:rPr>
            </w:pPr>
            <w:r>
              <w:rPr>
                <w:sz w:val="20"/>
              </w:rPr>
              <w:t>1,5</w:t>
            </w:r>
            <w:r w:rsidR="001173A3">
              <w:rPr>
                <w:sz w:val="20"/>
              </w:rPr>
              <w:t>33,159</w:t>
            </w:r>
          </w:p>
        </w:tc>
        <w:tc>
          <w:tcPr>
            <w:tcW w:w="111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5C44D5">
            <w:pPr>
              <w:jc w:val="right"/>
              <w:rPr>
                <w:sz w:val="20"/>
              </w:rPr>
            </w:pPr>
            <w:r>
              <w:rPr>
                <w:sz w:val="20"/>
              </w:rPr>
              <w:t>5,229,840</w:t>
            </w:r>
          </w:p>
        </w:tc>
      </w:tr>
      <w:tr w:rsidR="007B2875">
        <w:trPr>
          <w:cantSplit/>
          <w:trHeight w:val="6820"/>
          <w:jc w:val="center"/>
        </w:trPr>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rFonts w:ascii="Times New Roman Bold" w:hAnsi="Times New Roman Bold"/>
                <w:sz w:val="20"/>
              </w:rPr>
              <w:lastRenderedPageBreak/>
              <w:t>Component 2</w:t>
            </w:r>
            <w:r>
              <w:rPr>
                <w:sz w:val="20"/>
              </w:rPr>
              <w:t>: Field assessments, forest carbon+ certification schemes and monitoring mechanisms</w:t>
            </w:r>
          </w:p>
        </w:tc>
        <w:tc>
          <w:tcPr>
            <w:tcW w:w="76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TA</w:t>
            </w:r>
          </w:p>
        </w:tc>
        <w:tc>
          <w:tcPr>
            <w:tcW w:w="191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1. Priority areas for the implementation of the PES incentive program in the DCFC, including cadastral information, identified and mapped by the third quarter of the project</w:t>
            </w:r>
          </w:p>
          <w:p w:rsidR="007B2875" w:rsidRDefault="007B2875">
            <w:pPr>
              <w:rPr>
                <w:sz w:val="20"/>
              </w:rPr>
            </w:pPr>
          </w:p>
          <w:p w:rsidR="007B2875" w:rsidRDefault="00BF1DCA">
            <w:pPr>
              <w:rPr>
                <w:sz w:val="20"/>
              </w:rPr>
            </w:pPr>
            <w:r>
              <w:rPr>
                <w:sz w:val="20"/>
              </w:rPr>
              <w:t>2. Carbon Emission Certificates (CEC) issued to all eligible landholders enrolled in the PES incentive program by the end of the project</w:t>
            </w:r>
          </w:p>
          <w:p w:rsidR="007B2875" w:rsidRDefault="007B2875">
            <w:pPr>
              <w:rPr>
                <w:sz w:val="20"/>
              </w:rPr>
            </w:pPr>
          </w:p>
          <w:p w:rsidR="007B2875" w:rsidRDefault="00BF1DCA">
            <w:pPr>
              <w:rPr>
                <w:sz w:val="20"/>
              </w:rPr>
            </w:pPr>
            <w:r>
              <w:rPr>
                <w:sz w:val="20"/>
              </w:rPr>
              <w:t>3. Monitoring schemes being implemented in all landholdings enrolled in the PES incentive program by the end of the project</w:t>
            </w:r>
          </w:p>
        </w:tc>
        <w:tc>
          <w:tcPr>
            <w:tcW w:w="185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1. Priority areas of the DCFC with high carbon stocks (primarily) and biodiversity values and cultural services (secondarily) identified and mapped, using a multi-criteria analysis approach, by the third quarter of the project</w:t>
            </w:r>
          </w:p>
          <w:p w:rsidR="007B2875" w:rsidRDefault="007B2875">
            <w:pPr>
              <w:rPr>
                <w:sz w:val="20"/>
              </w:rPr>
            </w:pPr>
          </w:p>
          <w:p w:rsidR="007B2875" w:rsidRDefault="00BF1DCA">
            <w:pPr>
              <w:rPr>
                <w:sz w:val="20"/>
              </w:rPr>
            </w:pPr>
            <w:r>
              <w:rPr>
                <w:sz w:val="20"/>
              </w:rPr>
              <w:t>2. Carbon stock, biological and cultural assessments finalized and results disseminated by the third quarter of the project</w:t>
            </w:r>
          </w:p>
          <w:p w:rsidR="007B2875" w:rsidRDefault="007B2875">
            <w:pPr>
              <w:rPr>
                <w:sz w:val="20"/>
              </w:rPr>
            </w:pPr>
          </w:p>
          <w:p w:rsidR="007B2875" w:rsidRDefault="00BF1DCA">
            <w:pPr>
              <w:rPr>
                <w:sz w:val="20"/>
              </w:rPr>
            </w:pPr>
            <w:r>
              <w:rPr>
                <w:sz w:val="20"/>
              </w:rPr>
              <w:t>3. Certification and monitoring methodologies and tools with internationally accepted standards developed and piloted by the end of the second year of the project</w:t>
            </w:r>
          </w:p>
        </w:tc>
        <w:tc>
          <w:tcPr>
            <w:tcW w:w="76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GEFTF</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290,000</w:t>
            </w:r>
          </w:p>
        </w:tc>
        <w:tc>
          <w:tcPr>
            <w:tcW w:w="111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1,065,500</w:t>
            </w:r>
          </w:p>
        </w:tc>
      </w:tr>
      <w:tr w:rsidR="007B2875">
        <w:trPr>
          <w:cantSplit/>
          <w:trHeight w:val="14080"/>
          <w:jc w:val="center"/>
        </w:trPr>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rFonts w:ascii="Times New Roman Bold" w:hAnsi="Times New Roman Bold"/>
                <w:sz w:val="20"/>
              </w:rPr>
              <w:lastRenderedPageBreak/>
              <w:t>Component 3</w:t>
            </w:r>
            <w:r>
              <w:rPr>
                <w:sz w:val="20"/>
              </w:rPr>
              <w:t>: Strengthening of institutional capacities and establishment of enabling conditions for success</w:t>
            </w:r>
          </w:p>
        </w:tc>
        <w:tc>
          <w:tcPr>
            <w:tcW w:w="76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TA</w:t>
            </w:r>
          </w:p>
        </w:tc>
        <w:tc>
          <w:tcPr>
            <w:tcW w:w="191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1. 80% of target stakeholders, directly and/or indirectly involved in the project, completed capacity building programs and demonstrate high level of competency in priority thematic areas by the end of the project</w:t>
            </w:r>
          </w:p>
          <w:p w:rsidR="007B2875" w:rsidRDefault="007B2875">
            <w:pPr>
              <w:rPr>
                <w:sz w:val="20"/>
              </w:rPr>
            </w:pPr>
          </w:p>
          <w:p w:rsidR="007B2875" w:rsidRDefault="00BF1DCA">
            <w:pPr>
              <w:rPr>
                <w:sz w:val="20"/>
              </w:rPr>
            </w:pPr>
            <w:r>
              <w:rPr>
                <w:sz w:val="20"/>
              </w:rPr>
              <w:t>2. 70% of key government agencies are in the process of mainstreaming low carbon development, ecosystem accounting and sustainable landscape management (SLM) approaches into their operations and budgets by the end of the project</w:t>
            </w:r>
          </w:p>
          <w:p w:rsidR="007B2875" w:rsidRDefault="007B2875">
            <w:pPr>
              <w:rPr>
                <w:sz w:val="20"/>
              </w:rPr>
            </w:pPr>
          </w:p>
          <w:p w:rsidR="007B2875" w:rsidRDefault="00BF1DCA">
            <w:pPr>
              <w:rPr>
                <w:sz w:val="20"/>
              </w:rPr>
            </w:pPr>
            <w:r>
              <w:rPr>
                <w:sz w:val="20"/>
              </w:rPr>
              <w:t>3. National PES Online Platform fully functional by the end of the second year of the project</w:t>
            </w:r>
          </w:p>
        </w:tc>
        <w:tc>
          <w:tcPr>
            <w:tcW w:w="185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1. Capacity building assessment to identify priority thematic areas, characterize target stakeholders to be trained, and stakeholders knowledge baseline completed by the third quarter of the project</w:t>
            </w:r>
          </w:p>
          <w:p w:rsidR="007B2875" w:rsidRDefault="007B2875">
            <w:pPr>
              <w:rPr>
                <w:sz w:val="20"/>
              </w:rPr>
            </w:pPr>
          </w:p>
          <w:p w:rsidR="007B2875" w:rsidRDefault="00BF1DCA">
            <w:pPr>
              <w:rPr>
                <w:sz w:val="20"/>
              </w:rPr>
            </w:pPr>
            <w:r>
              <w:rPr>
                <w:sz w:val="20"/>
              </w:rPr>
              <w:t>2. Capacity building programs directed to key stakeholders in the design, implementation and monitoring of REDD+ projects completed by the end of the fourth quarter of the project, reaching at least 100 participants</w:t>
            </w:r>
          </w:p>
          <w:p w:rsidR="007B2875" w:rsidRDefault="007B2875">
            <w:pPr>
              <w:rPr>
                <w:sz w:val="20"/>
              </w:rPr>
            </w:pPr>
          </w:p>
          <w:p w:rsidR="007B2875" w:rsidRDefault="00BF1DCA">
            <w:pPr>
              <w:rPr>
                <w:sz w:val="20"/>
              </w:rPr>
            </w:pPr>
            <w:r>
              <w:rPr>
                <w:sz w:val="20"/>
              </w:rPr>
              <w:t xml:space="preserve">3. Institutional capacity needs assessment to promote the mainstreaming of low carbon development, ecosystem and ecosystem services accounting, and sustainable landscape management into key government agencies completed by the end of the fourth quarter of the program </w:t>
            </w:r>
          </w:p>
          <w:p w:rsidR="007B2875" w:rsidRDefault="007B2875">
            <w:pPr>
              <w:rPr>
                <w:sz w:val="20"/>
              </w:rPr>
            </w:pPr>
          </w:p>
          <w:p w:rsidR="007B2875" w:rsidRDefault="00BF1DCA">
            <w:pPr>
              <w:rPr>
                <w:sz w:val="20"/>
              </w:rPr>
            </w:pPr>
            <w:r>
              <w:rPr>
                <w:sz w:val="20"/>
              </w:rPr>
              <w:t>4. Capacity building programs, including but not limited to training workshops and south-south exchanges with successful regional and hemispheric initiatives, implemented by the end of the project, reaching at least 15 high level officials from key government agencies</w:t>
            </w:r>
          </w:p>
          <w:p w:rsidR="007B2875" w:rsidRDefault="007B2875">
            <w:pPr>
              <w:rPr>
                <w:sz w:val="20"/>
              </w:rPr>
            </w:pPr>
          </w:p>
          <w:p w:rsidR="007B2875" w:rsidRDefault="00BF1DCA">
            <w:pPr>
              <w:rPr>
                <w:sz w:val="20"/>
              </w:rPr>
            </w:pPr>
            <w:r>
              <w:rPr>
                <w:sz w:val="20"/>
              </w:rPr>
              <w:t>5. National PES Online Platform for information sharing and marketplace functionalities for PES supply and demand developed by the end of the second year of the project</w:t>
            </w:r>
          </w:p>
        </w:tc>
        <w:tc>
          <w:tcPr>
            <w:tcW w:w="76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GEFTF</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268,375</w:t>
            </w:r>
          </w:p>
        </w:tc>
        <w:tc>
          <w:tcPr>
            <w:tcW w:w="111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500,000</w:t>
            </w:r>
          </w:p>
        </w:tc>
      </w:tr>
      <w:tr w:rsidR="007B2875">
        <w:trPr>
          <w:cantSplit/>
          <w:trHeight w:val="310"/>
          <w:jc w:val="center"/>
        </w:trPr>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lastRenderedPageBreak/>
              <w:t xml:space="preserve">      </w:t>
            </w:r>
          </w:p>
        </w:tc>
        <w:tc>
          <w:tcPr>
            <w:tcW w:w="76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tc>
        <w:tc>
          <w:tcPr>
            <w:tcW w:w="191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w:t>
            </w:r>
          </w:p>
        </w:tc>
        <w:tc>
          <w:tcPr>
            <w:tcW w:w="185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w:t>
            </w:r>
          </w:p>
        </w:tc>
        <w:tc>
          <w:tcPr>
            <w:tcW w:w="76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c>
          <w:tcPr>
            <w:tcW w:w="111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r>
      <w:tr w:rsidR="007B2875">
        <w:trPr>
          <w:cantSplit/>
          <w:trHeight w:val="310"/>
          <w:jc w:val="center"/>
        </w:trPr>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xml:space="preserve">      </w:t>
            </w:r>
          </w:p>
        </w:tc>
        <w:tc>
          <w:tcPr>
            <w:tcW w:w="76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tc>
        <w:tc>
          <w:tcPr>
            <w:tcW w:w="191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w:t>
            </w:r>
          </w:p>
        </w:tc>
        <w:tc>
          <w:tcPr>
            <w:tcW w:w="185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w:t>
            </w:r>
          </w:p>
        </w:tc>
        <w:tc>
          <w:tcPr>
            <w:tcW w:w="76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c>
          <w:tcPr>
            <w:tcW w:w="111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r>
      <w:tr w:rsidR="007B2875">
        <w:trPr>
          <w:cantSplit/>
          <w:trHeight w:val="310"/>
          <w:jc w:val="center"/>
        </w:trPr>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xml:space="preserve">      </w:t>
            </w:r>
          </w:p>
        </w:tc>
        <w:tc>
          <w:tcPr>
            <w:tcW w:w="76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tc>
        <w:tc>
          <w:tcPr>
            <w:tcW w:w="191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w:t>
            </w:r>
          </w:p>
        </w:tc>
        <w:tc>
          <w:tcPr>
            <w:tcW w:w="185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w:t>
            </w:r>
          </w:p>
        </w:tc>
        <w:tc>
          <w:tcPr>
            <w:tcW w:w="76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c>
          <w:tcPr>
            <w:tcW w:w="111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r>
      <w:tr w:rsidR="007B2875">
        <w:trPr>
          <w:cantSplit/>
          <w:trHeight w:val="310"/>
          <w:jc w:val="center"/>
        </w:trPr>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xml:space="preserve">      </w:t>
            </w:r>
          </w:p>
        </w:tc>
        <w:tc>
          <w:tcPr>
            <w:tcW w:w="76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tc>
        <w:tc>
          <w:tcPr>
            <w:tcW w:w="191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w:t>
            </w:r>
          </w:p>
        </w:tc>
        <w:tc>
          <w:tcPr>
            <w:tcW w:w="185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w:t>
            </w:r>
          </w:p>
        </w:tc>
        <w:tc>
          <w:tcPr>
            <w:tcW w:w="76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c>
          <w:tcPr>
            <w:tcW w:w="111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r>
      <w:tr w:rsidR="007B2875">
        <w:trPr>
          <w:cantSplit/>
          <w:trHeight w:val="310"/>
          <w:jc w:val="center"/>
        </w:trPr>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xml:space="preserve">      </w:t>
            </w:r>
          </w:p>
        </w:tc>
        <w:tc>
          <w:tcPr>
            <w:tcW w:w="76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tc>
        <w:tc>
          <w:tcPr>
            <w:tcW w:w="191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w:t>
            </w:r>
          </w:p>
        </w:tc>
        <w:tc>
          <w:tcPr>
            <w:tcW w:w="185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w:t>
            </w:r>
          </w:p>
        </w:tc>
        <w:tc>
          <w:tcPr>
            <w:tcW w:w="76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c>
          <w:tcPr>
            <w:tcW w:w="111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r>
      <w:tr w:rsidR="007B2875">
        <w:trPr>
          <w:cantSplit/>
          <w:trHeight w:val="310"/>
          <w:jc w:val="center"/>
        </w:trPr>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xml:space="preserve">      </w:t>
            </w:r>
          </w:p>
        </w:tc>
        <w:tc>
          <w:tcPr>
            <w:tcW w:w="76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tc>
        <w:tc>
          <w:tcPr>
            <w:tcW w:w="191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w:t>
            </w:r>
          </w:p>
        </w:tc>
        <w:tc>
          <w:tcPr>
            <w:tcW w:w="185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w:t>
            </w:r>
          </w:p>
        </w:tc>
        <w:tc>
          <w:tcPr>
            <w:tcW w:w="76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c>
          <w:tcPr>
            <w:tcW w:w="111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r>
      <w:tr w:rsidR="007B2875">
        <w:trPr>
          <w:cantSplit/>
          <w:trHeight w:val="310"/>
          <w:jc w:val="center"/>
        </w:trPr>
        <w:tc>
          <w:tcPr>
            <w:tcW w:w="186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xml:space="preserve">      </w:t>
            </w:r>
          </w:p>
        </w:tc>
        <w:tc>
          <w:tcPr>
            <w:tcW w:w="76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tc>
        <w:tc>
          <w:tcPr>
            <w:tcW w:w="191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w:t>
            </w:r>
          </w:p>
        </w:tc>
        <w:tc>
          <w:tcPr>
            <w:tcW w:w="185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     </w:t>
            </w:r>
          </w:p>
        </w:tc>
        <w:tc>
          <w:tcPr>
            <w:tcW w:w="76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c>
          <w:tcPr>
            <w:tcW w:w="111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     </w:t>
            </w:r>
          </w:p>
        </w:tc>
      </w:tr>
      <w:tr w:rsidR="007B2875">
        <w:trPr>
          <w:cantSplit/>
          <w:trHeight w:val="310"/>
          <w:jc w:val="center"/>
        </w:trPr>
        <w:tc>
          <w:tcPr>
            <w:tcW w:w="4540"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Subtotal</w:t>
            </w:r>
          </w:p>
        </w:tc>
        <w:tc>
          <w:tcPr>
            <w:tcW w:w="185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pPr>
              <w:jc w:val="right"/>
            </w:pPr>
          </w:p>
        </w:tc>
        <w:tc>
          <w:tcPr>
            <w:tcW w:w="76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pPr>
              <w:jc w:val="right"/>
            </w:pP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1173A3" w:rsidP="001173A3">
            <w:pPr>
              <w:jc w:val="right"/>
              <w:rPr>
                <w:sz w:val="20"/>
              </w:rPr>
            </w:pPr>
            <w:r>
              <w:rPr>
                <w:sz w:val="20"/>
              </w:rPr>
              <w:t>2,091,534</w:t>
            </w:r>
          </w:p>
        </w:tc>
        <w:tc>
          <w:tcPr>
            <w:tcW w:w="111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5C44D5">
            <w:pPr>
              <w:jc w:val="right"/>
              <w:rPr>
                <w:sz w:val="20"/>
              </w:rPr>
            </w:pPr>
            <w:r>
              <w:rPr>
                <w:sz w:val="20"/>
              </w:rPr>
              <w:t>6,795,340</w:t>
            </w:r>
          </w:p>
        </w:tc>
      </w:tr>
      <w:tr w:rsidR="007B2875">
        <w:trPr>
          <w:cantSplit/>
          <w:trHeight w:val="440"/>
          <w:jc w:val="center"/>
        </w:trPr>
        <w:tc>
          <w:tcPr>
            <w:tcW w:w="4540"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Project Management Cost (PMC)</w:t>
            </w:r>
          </w:p>
        </w:tc>
        <w:tc>
          <w:tcPr>
            <w:tcW w:w="185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tc>
        <w:tc>
          <w:tcPr>
            <w:tcW w:w="76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rPr>
                <w:sz w:val="20"/>
              </w:rPr>
            </w:pPr>
            <w:r>
              <w:rPr>
                <w:sz w:val="20"/>
              </w:rPr>
              <w:t>GEFTF</w:t>
            </w: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1173A3">
            <w:pPr>
              <w:jc w:val="right"/>
              <w:rPr>
                <w:sz w:val="20"/>
              </w:rPr>
            </w:pPr>
            <w:r>
              <w:rPr>
                <w:sz w:val="20"/>
              </w:rPr>
              <w:t>110,080</w:t>
            </w:r>
          </w:p>
        </w:tc>
        <w:tc>
          <w:tcPr>
            <w:tcW w:w="111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rsidP="005C44D5">
            <w:pPr>
              <w:tabs>
                <w:tab w:val="center" w:pos="553"/>
                <w:tab w:val="right" w:pos="1107"/>
              </w:tabs>
              <w:rPr>
                <w:sz w:val="20"/>
              </w:rPr>
            </w:pPr>
            <w:r>
              <w:rPr>
                <w:sz w:val="20"/>
              </w:rPr>
              <w:tab/>
              <w:t xml:space="preserve">         </w:t>
            </w:r>
            <w:r w:rsidR="005C44D5">
              <w:rPr>
                <w:sz w:val="20"/>
              </w:rPr>
              <w:t>220,160</w:t>
            </w:r>
            <w:r>
              <w:rPr>
                <w:sz w:val="20"/>
              </w:rPr>
              <w:tab/>
              <w:t>     </w:t>
            </w:r>
          </w:p>
        </w:tc>
      </w:tr>
      <w:tr w:rsidR="007B2875">
        <w:trPr>
          <w:cantSplit/>
          <w:trHeight w:val="310"/>
          <w:jc w:val="center"/>
        </w:trPr>
        <w:tc>
          <w:tcPr>
            <w:tcW w:w="4540"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Total Project Cost</w:t>
            </w:r>
          </w:p>
        </w:tc>
        <w:tc>
          <w:tcPr>
            <w:tcW w:w="185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pPr>
              <w:jc w:val="right"/>
            </w:pPr>
          </w:p>
        </w:tc>
        <w:tc>
          <w:tcPr>
            <w:tcW w:w="765"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7B2875">
            <w:pPr>
              <w:jc w:val="right"/>
            </w:pPr>
          </w:p>
        </w:tc>
        <w:tc>
          <w:tcPr>
            <w:tcW w:w="107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1173A3">
            <w:pPr>
              <w:jc w:val="right"/>
              <w:rPr>
                <w:sz w:val="20"/>
              </w:rPr>
            </w:pPr>
            <w:r>
              <w:rPr>
                <w:sz w:val="20"/>
              </w:rPr>
              <w:t>2,201,614</w:t>
            </w:r>
          </w:p>
        </w:tc>
        <w:tc>
          <w:tcPr>
            <w:tcW w:w="1117"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7B2875" w:rsidRDefault="00BF1DCA">
            <w:pPr>
              <w:jc w:val="right"/>
              <w:rPr>
                <w:sz w:val="20"/>
              </w:rPr>
            </w:pPr>
            <w:r>
              <w:rPr>
                <w:sz w:val="20"/>
              </w:rPr>
              <w:t>7,015,500</w:t>
            </w:r>
          </w:p>
        </w:tc>
      </w:tr>
    </w:tbl>
    <w:p w:rsidR="007B2875" w:rsidRDefault="007B2875">
      <w:pPr>
        <w:pStyle w:val="FreeForm"/>
        <w:jc w:val="center"/>
        <w:rPr>
          <w:rFonts w:ascii="Times New Roman Bold" w:hAnsi="Times New Roman Bold"/>
          <w:smallCaps/>
          <w:sz w:val="22"/>
        </w:rPr>
      </w:pPr>
    </w:p>
    <w:p w:rsidR="007B2875" w:rsidRDefault="007B2875">
      <w:pPr>
        <w:pStyle w:val="FreeFormA"/>
        <w:jc w:val="center"/>
        <w:rPr>
          <w:rFonts w:ascii="Times New Roman Bold" w:hAnsi="Times New Roman Bold"/>
          <w:smallCaps/>
          <w:sz w:val="22"/>
        </w:rPr>
      </w:pPr>
    </w:p>
    <w:p w:rsidR="007B2875" w:rsidRDefault="007B2875">
      <w:pPr>
        <w:rPr>
          <w:rFonts w:ascii="Times New Roman Bold" w:hAnsi="Times New Roman Bold"/>
          <w:sz w:val="20"/>
        </w:rPr>
      </w:pPr>
    </w:p>
    <w:p w:rsidR="007B2875" w:rsidRDefault="007B2875">
      <w:pPr>
        <w:rPr>
          <w:rFonts w:ascii="Times New Roman Bold" w:hAnsi="Times New Roman Bold"/>
          <w:sz w:val="20"/>
        </w:rPr>
      </w:pPr>
    </w:p>
    <w:p w:rsidR="007B2875" w:rsidRDefault="00BF1DCA">
      <w:pPr>
        <w:pStyle w:val="Footer1"/>
        <w:numPr>
          <w:ilvl w:val="0"/>
          <w:numId w:val="2"/>
        </w:numPr>
        <w:tabs>
          <w:tab w:val="clear" w:pos="4320"/>
          <w:tab w:val="clear" w:pos="8640"/>
        </w:tabs>
        <w:spacing w:before="240" w:after="80"/>
        <w:ind w:hanging="720"/>
        <w:rPr>
          <w:rFonts w:ascii="Times New Roman Bold" w:hAnsi="Times New Roman Bold"/>
          <w:smallCaps/>
        </w:rPr>
      </w:pPr>
      <w:r>
        <w:rPr>
          <w:rFonts w:ascii="Times New Roman Bold" w:hAnsi="Times New Roman Bold"/>
          <w:smallCaps/>
        </w:rPr>
        <w:t xml:space="preserve">Indicative </w:t>
      </w:r>
      <w:hyperlink r:id="rId10" w:history="1">
        <w:r>
          <w:rPr>
            <w:rFonts w:ascii="Times New Roman Bold" w:hAnsi="Times New Roman Bold"/>
            <w:smallCaps/>
          </w:rPr>
          <w:t>Co-financing</w:t>
        </w:r>
      </w:hyperlink>
      <w:r>
        <w:rPr>
          <w:rFonts w:ascii="Times New Roman Bold" w:hAnsi="Times New Roman Bold"/>
          <w:smallCaps/>
        </w:rPr>
        <w:t xml:space="preserve"> for the project by source and by name if available, ($)</w:t>
      </w:r>
    </w:p>
    <w:tbl>
      <w:tblPr>
        <w:tblW w:w="0" w:type="auto"/>
        <w:tblInd w:w="5" w:type="dxa"/>
        <w:tblLayout w:type="fixed"/>
        <w:tblLook w:val="0000"/>
      </w:tblPr>
      <w:tblGrid>
        <w:gridCol w:w="3241"/>
        <w:gridCol w:w="2842"/>
        <w:gridCol w:w="2029"/>
        <w:gridCol w:w="1231"/>
      </w:tblGrid>
      <w:tr w:rsidR="007B2875">
        <w:trPr>
          <w:cantSplit/>
          <w:trHeight w:val="330"/>
        </w:trPr>
        <w:tc>
          <w:tcPr>
            <w:tcW w:w="324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rFonts w:ascii="Times New Roman Bold" w:hAnsi="Times New Roman Bold"/>
                <w:sz w:val="22"/>
              </w:rPr>
            </w:pPr>
            <w:r>
              <w:rPr>
                <w:rFonts w:ascii="Times New Roman Bold" w:hAnsi="Times New Roman Bold"/>
                <w:sz w:val="22"/>
              </w:rPr>
              <w:t xml:space="preserve">Sources of </w:t>
            </w:r>
            <w:proofErr w:type="spellStart"/>
            <w:r>
              <w:rPr>
                <w:rFonts w:ascii="Times New Roman Bold" w:hAnsi="Times New Roman Bold"/>
                <w:sz w:val="22"/>
              </w:rPr>
              <w:t>Cofinancing</w:t>
            </w:r>
            <w:proofErr w:type="spellEnd"/>
            <w:r>
              <w:rPr>
                <w:rFonts w:ascii="Times New Roman Bold" w:hAnsi="Times New Roman Bold"/>
                <w:sz w:val="22"/>
              </w:rPr>
              <w:t xml:space="preserve"> </w:t>
            </w:r>
          </w:p>
        </w:tc>
        <w:tc>
          <w:tcPr>
            <w:tcW w:w="2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rFonts w:ascii="Times New Roman Bold" w:hAnsi="Times New Roman Bold"/>
                <w:sz w:val="22"/>
              </w:rPr>
            </w:pPr>
            <w:r>
              <w:rPr>
                <w:rFonts w:ascii="Times New Roman Bold" w:hAnsi="Times New Roman Bold"/>
                <w:sz w:val="22"/>
              </w:rPr>
              <w:t xml:space="preserve">Name of </w:t>
            </w:r>
            <w:proofErr w:type="spellStart"/>
            <w:r>
              <w:rPr>
                <w:rFonts w:ascii="Times New Roman Bold" w:hAnsi="Times New Roman Bold"/>
                <w:sz w:val="22"/>
              </w:rPr>
              <w:t>Cofinancier</w:t>
            </w:r>
            <w:proofErr w:type="spellEnd"/>
          </w:p>
        </w:tc>
        <w:tc>
          <w:tcPr>
            <w:tcW w:w="202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ind w:left="5"/>
              <w:jc w:val="center"/>
              <w:rPr>
                <w:rFonts w:ascii="Times New Roman Bold" w:hAnsi="Times New Roman Bold"/>
                <w:sz w:val="22"/>
              </w:rPr>
            </w:pPr>
            <w:r>
              <w:rPr>
                <w:rFonts w:ascii="Times New Roman Bold" w:hAnsi="Times New Roman Bold"/>
                <w:sz w:val="22"/>
              </w:rPr>
              <w:t xml:space="preserve">Type of </w:t>
            </w:r>
            <w:proofErr w:type="spellStart"/>
            <w:r>
              <w:rPr>
                <w:rFonts w:ascii="Times New Roman Bold" w:hAnsi="Times New Roman Bold"/>
                <w:sz w:val="22"/>
              </w:rPr>
              <w:t>Cofinancing</w:t>
            </w:r>
            <w:proofErr w:type="spellEnd"/>
          </w:p>
        </w:tc>
        <w:tc>
          <w:tcPr>
            <w:tcW w:w="123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rFonts w:ascii="Times New Roman Bold" w:hAnsi="Times New Roman Bold"/>
                <w:sz w:val="22"/>
              </w:rPr>
            </w:pPr>
            <w:r>
              <w:rPr>
                <w:rFonts w:ascii="Times New Roman Bold" w:hAnsi="Times New Roman Bold"/>
                <w:sz w:val="22"/>
              </w:rPr>
              <w:t>Amount ($)</w:t>
            </w:r>
          </w:p>
        </w:tc>
      </w:tr>
      <w:tr w:rsidR="007B2875">
        <w:trPr>
          <w:cantSplit/>
          <w:trHeight w:val="310"/>
        </w:trPr>
        <w:tc>
          <w:tcPr>
            <w:tcW w:w="324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Foundation</w:t>
            </w:r>
          </w:p>
        </w:tc>
        <w:tc>
          <w:tcPr>
            <w:tcW w:w="2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World Land Trust</w:t>
            </w:r>
          </w:p>
        </w:tc>
        <w:tc>
          <w:tcPr>
            <w:tcW w:w="202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Cash</w:t>
            </w:r>
          </w:p>
        </w:tc>
        <w:tc>
          <w:tcPr>
            <w:tcW w:w="123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340,000</w:t>
            </w:r>
          </w:p>
        </w:tc>
      </w:tr>
      <w:tr w:rsidR="007B2875">
        <w:trPr>
          <w:cantSplit/>
          <w:trHeight w:val="310"/>
        </w:trPr>
        <w:tc>
          <w:tcPr>
            <w:tcW w:w="324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 xml:space="preserve">Civil Society Organization </w:t>
            </w:r>
          </w:p>
        </w:tc>
        <w:tc>
          <w:tcPr>
            <w:tcW w:w="2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CI-GCF Conservation Trust Fund</w:t>
            </w:r>
          </w:p>
        </w:tc>
        <w:tc>
          <w:tcPr>
            <w:tcW w:w="202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Cash</w:t>
            </w:r>
          </w:p>
        </w:tc>
        <w:tc>
          <w:tcPr>
            <w:tcW w:w="123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160,000</w:t>
            </w:r>
          </w:p>
        </w:tc>
      </w:tr>
      <w:tr w:rsidR="007B2875">
        <w:trPr>
          <w:cantSplit/>
          <w:trHeight w:val="440"/>
        </w:trPr>
        <w:tc>
          <w:tcPr>
            <w:tcW w:w="324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Civil Society Organization</w:t>
            </w:r>
          </w:p>
        </w:tc>
        <w:tc>
          <w:tcPr>
            <w:tcW w:w="2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 xml:space="preserve"> </w:t>
            </w:r>
            <w:proofErr w:type="spellStart"/>
            <w:r>
              <w:rPr>
                <w:sz w:val="20"/>
              </w:rPr>
              <w:t>Guyra</w:t>
            </w:r>
            <w:proofErr w:type="spellEnd"/>
            <w:r>
              <w:rPr>
                <w:sz w:val="20"/>
              </w:rPr>
              <w:t xml:space="preserve"> Paraguay/Paraguay Forest Conservation Project`</w:t>
            </w:r>
          </w:p>
        </w:tc>
        <w:tc>
          <w:tcPr>
            <w:tcW w:w="202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Cash</w:t>
            </w:r>
          </w:p>
        </w:tc>
        <w:tc>
          <w:tcPr>
            <w:tcW w:w="123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850,000</w:t>
            </w:r>
          </w:p>
        </w:tc>
      </w:tr>
      <w:tr w:rsidR="007B2875">
        <w:trPr>
          <w:cantSplit/>
          <w:trHeight w:val="304"/>
        </w:trPr>
        <w:tc>
          <w:tcPr>
            <w:tcW w:w="324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Foundation</w:t>
            </w:r>
          </w:p>
        </w:tc>
        <w:tc>
          <w:tcPr>
            <w:tcW w:w="2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Natural History Museum London</w:t>
            </w:r>
          </w:p>
        </w:tc>
        <w:tc>
          <w:tcPr>
            <w:tcW w:w="202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In-Kind</w:t>
            </w:r>
          </w:p>
        </w:tc>
        <w:tc>
          <w:tcPr>
            <w:tcW w:w="123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rsidP="005C44D5">
            <w:pPr>
              <w:jc w:val="right"/>
              <w:rPr>
                <w:sz w:val="20"/>
              </w:rPr>
            </w:pPr>
            <w:r>
              <w:rPr>
                <w:sz w:val="20"/>
              </w:rPr>
              <w:t>565,5</w:t>
            </w:r>
            <w:r w:rsidR="005C44D5">
              <w:rPr>
                <w:sz w:val="20"/>
              </w:rPr>
              <w:t>0</w:t>
            </w:r>
            <w:r>
              <w:rPr>
                <w:sz w:val="20"/>
              </w:rPr>
              <w:t>0</w:t>
            </w:r>
          </w:p>
        </w:tc>
      </w:tr>
      <w:tr w:rsidR="007B2875">
        <w:trPr>
          <w:cantSplit/>
          <w:trHeight w:val="440"/>
        </w:trPr>
        <w:tc>
          <w:tcPr>
            <w:tcW w:w="324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National Government</w:t>
            </w:r>
          </w:p>
        </w:tc>
        <w:tc>
          <w:tcPr>
            <w:tcW w:w="2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SEAM Investment (from National Budget Allocation)</w:t>
            </w:r>
          </w:p>
        </w:tc>
        <w:tc>
          <w:tcPr>
            <w:tcW w:w="202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Cash</w:t>
            </w:r>
          </w:p>
        </w:tc>
        <w:tc>
          <w:tcPr>
            <w:tcW w:w="123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2,600,000</w:t>
            </w:r>
          </w:p>
        </w:tc>
      </w:tr>
      <w:tr w:rsidR="007B2875">
        <w:trPr>
          <w:cantSplit/>
          <w:trHeight w:val="310"/>
        </w:trPr>
        <w:tc>
          <w:tcPr>
            <w:tcW w:w="324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National Government</w:t>
            </w:r>
          </w:p>
        </w:tc>
        <w:tc>
          <w:tcPr>
            <w:tcW w:w="2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 xml:space="preserve">SEAM </w:t>
            </w:r>
          </w:p>
        </w:tc>
        <w:tc>
          <w:tcPr>
            <w:tcW w:w="202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In-Kind</w:t>
            </w:r>
          </w:p>
        </w:tc>
        <w:tc>
          <w:tcPr>
            <w:tcW w:w="123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400,000</w:t>
            </w:r>
          </w:p>
        </w:tc>
      </w:tr>
      <w:tr w:rsidR="007B2875">
        <w:trPr>
          <w:cantSplit/>
          <w:trHeight w:val="310"/>
        </w:trPr>
        <w:tc>
          <w:tcPr>
            <w:tcW w:w="324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Private Sector</w:t>
            </w:r>
          </w:p>
        </w:tc>
        <w:tc>
          <w:tcPr>
            <w:tcW w:w="2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Private Sector (Compensation)</w:t>
            </w:r>
          </w:p>
        </w:tc>
        <w:tc>
          <w:tcPr>
            <w:tcW w:w="202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Cash</w:t>
            </w:r>
          </w:p>
        </w:tc>
        <w:tc>
          <w:tcPr>
            <w:tcW w:w="123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1,500,000</w:t>
            </w:r>
          </w:p>
        </w:tc>
      </w:tr>
      <w:tr w:rsidR="007B2875">
        <w:trPr>
          <w:cantSplit/>
          <w:trHeight w:val="440"/>
        </w:trPr>
        <w:tc>
          <w:tcPr>
            <w:tcW w:w="324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National Government</w:t>
            </w:r>
          </w:p>
        </w:tc>
        <w:tc>
          <w:tcPr>
            <w:tcW w:w="2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Other Governmental Institutions (INFONA and INDERT)</w:t>
            </w:r>
          </w:p>
        </w:tc>
        <w:tc>
          <w:tcPr>
            <w:tcW w:w="202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In-Kind</w:t>
            </w:r>
          </w:p>
        </w:tc>
        <w:tc>
          <w:tcPr>
            <w:tcW w:w="123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400,000</w:t>
            </w:r>
          </w:p>
        </w:tc>
      </w:tr>
      <w:tr w:rsidR="007B2875">
        <w:trPr>
          <w:cantSplit/>
          <w:trHeight w:val="310"/>
        </w:trPr>
        <w:tc>
          <w:tcPr>
            <w:tcW w:w="324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Private Sector</w:t>
            </w:r>
          </w:p>
        </w:tc>
        <w:tc>
          <w:tcPr>
            <w:tcW w:w="2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Financial Sector</w:t>
            </w:r>
          </w:p>
        </w:tc>
        <w:tc>
          <w:tcPr>
            <w:tcW w:w="202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In-Kind</w:t>
            </w:r>
          </w:p>
        </w:tc>
        <w:tc>
          <w:tcPr>
            <w:tcW w:w="123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200,000</w:t>
            </w:r>
          </w:p>
        </w:tc>
      </w:tr>
      <w:tr w:rsidR="007B2875">
        <w:trPr>
          <w:cantSplit/>
          <w:trHeight w:val="310"/>
        </w:trPr>
        <w:tc>
          <w:tcPr>
            <w:tcW w:w="324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2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202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pPr>
              <w:ind w:left="5"/>
            </w:pPr>
          </w:p>
        </w:tc>
        <w:tc>
          <w:tcPr>
            <w:tcW w:w="123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pPr>
              <w:jc w:val="right"/>
            </w:pPr>
          </w:p>
        </w:tc>
      </w:tr>
      <w:tr w:rsidR="007B2875">
        <w:trPr>
          <w:cantSplit/>
          <w:trHeight w:val="310"/>
        </w:trPr>
        <w:tc>
          <w:tcPr>
            <w:tcW w:w="324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284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202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pPr>
              <w:ind w:left="5"/>
            </w:pPr>
          </w:p>
        </w:tc>
        <w:tc>
          <w:tcPr>
            <w:tcW w:w="123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pPr>
              <w:jc w:val="right"/>
            </w:pPr>
          </w:p>
        </w:tc>
      </w:tr>
      <w:tr w:rsidR="007B2875">
        <w:trPr>
          <w:cantSplit/>
          <w:trHeight w:val="310"/>
        </w:trPr>
        <w:tc>
          <w:tcPr>
            <w:tcW w:w="324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rFonts w:ascii="Times New Roman Bold" w:hAnsi="Times New Roman Bold"/>
                <w:sz w:val="20"/>
              </w:rPr>
            </w:pPr>
            <w:r>
              <w:rPr>
                <w:rFonts w:ascii="Times New Roman Bold" w:hAnsi="Times New Roman Bold"/>
                <w:sz w:val="20"/>
              </w:rPr>
              <w:t xml:space="preserve">Total </w:t>
            </w:r>
            <w:proofErr w:type="spellStart"/>
            <w:r>
              <w:rPr>
                <w:rFonts w:ascii="Times New Roman Bold" w:hAnsi="Times New Roman Bold"/>
                <w:sz w:val="20"/>
              </w:rPr>
              <w:t>Cofinancing</w:t>
            </w:r>
            <w:proofErr w:type="spellEnd"/>
          </w:p>
        </w:tc>
        <w:tc>
          <w:tcPr>
            <w:tcW w:w="2842" w:type="dxa"/>
            <w:tcBorders>
              <w:top w:val="single" w:sz="4" w:space="0" w:color="000000"/>
              <w:left w:val="single" w:sz="4" w:space="0" w:color="000000"/>
              <w:bottom w:val="single" w:sz="4" w:space="0" w:color="000000"/>
              <w:right w:val="single" w:sz="4" w:space="0" w:color="000000"/>
            </w:tcBorders>
            <w:shd w:val="clear" w:color="auto" w:fill="CCCCCC"/>
            <w:tcMar>
              <w:top w:w="0" w:type="dxa"/>
              <w:left w:w="0" w:type="dxa"/>
              <w:bottom w:w="0" w:type="dxa"/>
              <w:right w:w="0" w:type="dxa"/>
            </w:tcMar>
          </w:tcPr>
          <w:p w:rsidR="007B2875" w:rsidRDefault="007B2875">
            <w:pPr>
              <w:jc w:val="right"/>
            </w:pPr>
          </w:p>
        </w:tc>
        <w:tc>
          <w:tcPr>
            <w:tcW w:w="2029" w:type="dxa"/>
            <w:tcBorders>
              <w:top w:val="single" w:sz="4" w:space="0" w:color="000000"/>
              <w:left w:val="single" w:sz="4" w:space="0" w:color="000000"/>
              <w:bottom w:val="single" w:sz="4" w:space="0" w:color="000000"/>
              <w:right w:val="single" w:sz="4" w:space="0" w:color="000000"/>
            </w:tcBorders>
            <w:shd w:val="clear" w:color="auto" w:fill="CCCCCC"/>
            <w:tcMar>
              <w:top w:w="0" w:type="dxa"/>
              <w:left w:w="0" w:type="dxa"/>
              <w:bottom w:w="0" w:type="dxa"/>
              <w:right w:w="0" w:type="dxa"/>
            </w:tcMar>
          </w:tcPr>
          <w:p w:rsidR="007B2875" w:rsidRDefault="007B2875">
            <w:pPr>
              <w:ind w:left="5"/>
              <w:jc w:val="right"/>
            </w:pPr>
          </w:p>
        </w:tc>
        <w:tc>
          <w:tcPr>
            <w:tcW w:w="123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7,015,500</w:t>
            </w:r>
          </w:p>
        </w:tc>
      </w:tr>
    </w:tbl>
    <w:p w:rsidR="007B2875" w:rsidRDefault="007B2875">
      <w:pPr>
        <w:pStyle w:val="FreeForm"/>
        <w:ind w:left="5"/>
        <w:rPr>
          <w:rFonts w:ascii="Times New Roman Bold" w:hAnsi="Times New Roman Bold"/>
          <w:smallCaps/>
          <w:sz w:val="24"/>
        </w:rPr>
      </w:pPr>
    </w:p>
    <w:p w:rsidR="007B2875" w:rsidRDefault="007B2875">
      <w:pPr>
        <w:pStyle w:val="FreeFormA"/>
        <w:rPr>
          <w:rFonts w:ascii="Times New Roman Bold" w:hAnsi="Times New Roman Bold"/>
          <w:smallCaps/>
          <w:sz w:val="24"/>
        </w:rPr>
      </w:pPr>
    </w:p>
    <w:p w:rsidR="007B2875" w:rsidRDefault="00BF1DCA">
      <w:pPr>
        <w:pStyle w:val="Footer1"/>
        <w:numPr>
          <w:ilvl w:val="0"/>
          <w:numId w:val="2"/>
        </w:numPr>
        <w:tabs>
          <w:tab w:val="clear" w:pos="4320"/>
          <w:tab w:val="clear" w:pos="8640"/>
        </w:tabs>
        <w:spacing w:before="240" w:after="80"/>
        <w:ind w:hanging="720"/>
        <w:rPr>
          <w:rFonts w:ascii="Times New Roman Bold" w:hAnsi="Times New Roman Bold"/>
          <w:smallCaps/>
          <w:sz w:val="22"/>
        </w:rPr>
      </w:pPr>
      <w:r>
        <w:rPr>
          <w:rFonts w:ascii="Times New Roman Bold" w:hAnsi="Times New Roman Bold"/>
          <w:smallCaps/>
          <w:sz w:val="22"/>
        </w:rPr>
        <w:t xml:space="preserve">indicative trust fund  Resources </w:t>
      </w:r>
      <w:r>
        <w:rPr>
          <w:rFonts w:ascii="Times New Roman Bold" w:hAnsi="Times New Roman Bold"/>
          <w:smallCaps/>
        </w:rPr>
        <w:t xml:space="preserve">($) </w:t>
      </w:r>
      <w:r>
        <w:rPr>
          <w:rFonts w:ascii="Times New Roman Bold" w:hAnsi="Times New Roman Bold"/>
          <w:smallCaps/>
          <w:sz w:val="22"/>
        </w:rPr>
        <w:t>Requested by Agency, Focal Area and Country</w:t>
      </w:r>
      <w:r>
        <w:rPr>
          <w:rStyle w:val="FootnoteReference1"/>
          <w:rFonts w:ascii="Times New Roman Bold" w:hAnsi="Times New Roman Bold"/>
          <w:caps/>
          <w:sz w:val="22"/>
        </w:rPr>
        <w:t>1</w:t>
      </w:r>
    </w:p>
    <w:tbl>
      <w:tblPr>
        <w:tblW w:w="0" w:type="auto"/>
        <w:tblInd w:w="5" w:type="dxa"/>
        <w:tblLayout w:type="fixed"/>
        <w:tblLook w:val="0000"/>
      </w:tblPr>
      <w:tblGrid>
        <w:gridCol w:w="1053"/>
        <w:gridCol w:w="1297"/>
        <w:gridCol w:w="1913"/>
        <w:gridCol w:w="1519"/>
        <w:gridCol w:w="1096"/>
        <w:gridCol w:w="1234"/>
        <w:gridCol w:w="1231"/>
      </w:tblGrid>
      <w:tr w:rsidR="007B2875" w:rsidTr="00034C44">
        <w:trPr>
          <w:cantSplit/>
          <w:trHeight w:val="760"/>
        </w:trPr>
        <w:tc>
          <w:tcPr>
            <w:tcW w:w="105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rFonts w:ascii="Times New Roman Bold" w:hAnsi="Times New Roman Bold"/>
                <w:sz w:val="22"/>
              </w:rPr>
            </w:pPr>
            <w:r>
              <w:rPr>
                <w:rFonts w:ascii="Times New Roman Bold" w:hAnsi="Times New Roman Bold"/>
                <w:sz w:val="22"/>
              </w:rPr>
              <w:t>GEF Agency</w:t>
            </w:r>
          </w:p>
        </w:tc>
        <w:tc>
          <w:tcPr>
            <w:tcW w:w="129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rFonts w:ascii="Times New Roman Bold" w:hAnsi="Times New Roman Bold"/>
                <w:sz w:val="22"/>
              </w:rPr>
            </w:pPr>
            <w:r>
              <w:rPr>
                <w:rFonts w:ascii="Times New Roman Bold" w:hAnsi="Times New Roman Bold"/>
                <w:sz w:val="22"/>
              </w:rPr>
              <w:t>Type of Trust Fund</w:t>
            </w:r>
          </w:p>
        </w:tc>
        <w:tc>
          <w:tcPr>
            <w:tcW w:w="191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rFonts w:ascii="Times New Roman Bold" w:hAnsi="Times New Roman Bold"/>
                <w:sz w:val="22"/>
              </w:rPr>
            </w:pPr>
            <w:r>
              <w:rPr>
                <w:rFonts w:ascii="Times New Roman Bold" w:hAnsi="Times New Roman Bold"/>
                <w:sz w:val="22"/>
              </w:rPr>
              <w:t>Focal Area</w:t>
            </w:r>
          </w:p>
        </w:tc>
        <w:tc>
          <w:tcPr>
            <w:tcW w:w="151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rFonts w:ascii="Times New Roman Bold" w:hAnsi="Times New Roman Bold"/>
                <w:sz w:val="22"/>
              </w:rPr>
            </w:pPr>
            <w:r>
              <w:rPr>
                <w:rFonts w:ascii="Times New Roman Bold" w:hAnsi="Times New Roman Bold"/>
                <w:sz w:val="22"/>
              </w:rPr>
              <w:t>Country Name/Global</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rFonts w:ascii="Times New Roman Bold" w:hAnsi="Times New Roman Bold"/>
                <w:sz w:val="22"/>
              </w:rPr>
            </w:pPr>
            <w:r>
              <w:rPr>
                <w:rFonts w:ascii="Times New Roman Bold" w:hAnsi="Times New Roman Bold"/>
                <w:sz w:val="22"/>
              </w:rPr>
              <w:t xml:space="preserve">Grant Amount </w:t>
            </w:r>
            <w:r>
              <w:rPr>
                <w:rFonts w:ascii="Times New Roman Bold" w:hAnsi="Times New Roman Bold"/>
                <w:smallCaps/>
              </w:rPr>
              <w:t>($)</w:t>
            </w:r>
            <w:r>
              <w:rPr>
                <w:rFonts w:ascii="Times New Roman Bold" w:hAnsi="Times New Roman Bold"/>
                <w:sz w:val="22"/>
              </w:rPr>
              <w:t xml:space="preserve"> (a)</w:t>
            </w:r>
          </w:p>
        </w:tc>
        <w:tc>
          <w:tcPr>
            <w:tcW w:w="12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rFonts w:ascii="Times New Roman Bold" w:hAnsi="Times New Roman Bold"/>
                <w:sz w:val="22"/>
                <w:vertAlign w:val="superscript"/>
              </w:rPr>
            </w:pPr>
            <w:r>
              <w:rPr>
                <w:rFonts w:ascii="Times New Roman Bold" w:hAnsi="Times New Roman Bold"/>
                <w:sz w:val="22"/>
              </w:rPr>
              <w:t xml:space="preserve">Agency Fee </w:t>
            </w:r>
            <w:r>
              <w:rPr>
                <w:rFonts w:ascii="Times New Roman Bold" w:hAnsi="Times New Roman Bold"/>
                <w:smallCaps/>
              </w:rPr>
              <w:t>($)</w:t>
            </w:r>
            <w:r>
              <w:rPr>
                <w:rFonts w:ascii="Times New Roman Bold" w:hAnsi="Times New Roman Bold"/>
                <w:sz w:val="22"/>
              </w:rPr>
              <w:t xml:space="preserve"> (b)</w:t>
            </w:r>
            <w:r>
              <w:rPr>
                <w:rFonts w:ascii="Times New Roman Bold" w:hAnsi="Times New Roman Bold"/>
                <w:sz w:val="22"/>
                <w:vertAlign w:val="superscript"/>
              </w:rPr>
              <w:t>2</w:t>
            </w:r>
          </w:p>
        </w:tc>
        <w:tc>
          <w:tcPr>
            <w:tcW w:w="123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ind w:firstLine="195"/>
              <w:jc w:val="center"/>
              <w:rPr>
                <w:rFonts w:ascii="Times New Roman Bold" w:hAnsi="Times New Roman Bold"/>
                <w:sz w:val="22"/>
              </w:rPr>
            </w:pPr>
            <w:r>
              <w:rPr>
                <w:rFonts w:ascii="Times New Roman Bold" w:hAnsi="Times New Roman Bold"/>
                <w:sz w:val="22"/>
              </w:rPr>
              <w:t xml:space="preserve">Total </w:t>
            </w:r>
            <w:r>
              <w:rPr>
                <w:rFonts w:ascii="Times New Roman Bold" w:hAnsi="Times New Roman Bold"/>
                <w:smallCaps/>
              </w:rPr>
              <w:t xml:space="preserve">($) </w:t>
            </w:r>
            <w:r>
              <w:rPr>
                <w:rFonts w:ascii="Times New Roman Bold" w:hAnsi="Times New Roman Bold"/>
                <w:sz w:val="22"/>
              </w:rPr>
              <w:t>c=</w:t>
            </w:r>
            <w:proofErr w:type="spellStart"/>
            <w:r>
              <w:rPr>
                <w:rFonts w:ascii="Times New Roman Bold" w:hAnsi="Times New Roman Bold"/>
                <w:sz w:val="22"/>
              </w:rPr>
              <w:t>a+b</w:t>
            </w:r>
            <w:proofErr w:type="spellEnd"/>
          </w:p>
        </w:tc>
      </w:tr>
      <w:tr w:rsidR="007B2875" w:rsidTr="00034C44">
        <w:trPr>
          <w:cantSplit/>
          <w:trHeight w:val="243"/>
        </w:trPr>
        <w:tc>
          <w:tcPr>
            <w:tcW w:w="105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CI</w:t>
            </w:r>
          </w:p>
        </w:tc>
        <w:tc>
          <w:tcPr>
            <w:tcW w:w="129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GEFTF</w:t>
            </w:r>
          </w:p>
        </w:tc>
        <w:tc>
          <w:tcPr>
            <w:tcW w:w="191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Climate Change</w:t>
            </w:r>
          </w:p>
        </w:tc>
        <w:tc>
          <w:tcPr>
            <w:tcW w:w="151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 xml:space="preserve">Paraguay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1173A3">
            <w:pPr>
              <w:jc w:val="right"/>
              <w:rPr>
                <w:sz w:val="20"/>
              </w:rPr>
            </w:pPr>
            <w:r>
              <w:rPr>
                <w:sz w:val="20"/>
              </w:rPr>
              <w:t>2,201,614</w:t>
            </w:r>
          </w:p>
        </w:tc>
        <w:tc>
          <w:tcPr>
            <w:tcW w:w="12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034C44">
            <w:pPr>
              <w:jc w:val="right"/>
              <w:rPr>
                <w:sz w:val="20"/>
              </w:rPr>
            </w:pPr>
            <w:r>
              <w:rPr>
                <w:sz w:val="20"/>
              </w:rPr>
              <w:t>190,000</w:t>
            </w:r>
          </w:p>
        </w:tc>
        <w:tc>
          <w:tcPr>
            <w:tcW w:w="123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034C44">
            <w:pPr>
              <w:jc w:val="right"/>
              <w:rPr>
                <w:sz w:val="20"/>
              </w:rPr>
            </w:pPr>
            <w:r>
              <w:rPr>
                <w:sz w:val="20"/>
              </w:rPr>
              <w:t>2,391,614</w:t>
            </w:r>
          </w:p>
        </w:tc>
      </w:tr>
      <w:tr w:rsidR="007B2875" w:rsidTr="00034C44">
        <w:trPr>
          <w:cantSplit/>
          <w:trHeight w:val="300"/>
        </w:trPr>
        <w:tc>
          <w:tcPr>
            <w:tcW w:w="105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129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191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151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     </w:t>
            </w:r>
          </w:p>
        </w:tc>
        <w:tc>
          <w:tcPr>
            <w:tcW w:w="12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     </w:t>
            </w:r>
          </w:p>
        </w:tc>
        <w:tc>
          <w:tcPr>
            <w:tcW w:w="123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0</w:t>
            </w:r>
          </w:p>
        </w:tc>
      </w:tr>
      <w:tr w:rsidR="007B2875" w:rsidTr="00034C44">
        <w:trPr>
          <w:cantSplit/>
          <w:trHeight w:val="300"/>
        </w:trPr>
        <w:tc>
          <w:tcPr>
            <w:tcW w:w="105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129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191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151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     </w:t>
            </w:r>
          </w:p>
        </w:tc>
        <w:tc>
          <w:tcPr>
            <w:tcW w:w="12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     </w:t>
            </w:r>
          </w:p>
        </w:tc>
        <w:tc>
          <w:tcPr>
            <w:tcW w:w="123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0</w:t>
            </w:r>
          </w:p>
        </w:tc>
      </w:tr>
      <w:tr w:rsidR="007B2875" w:rsidTr="00034C44">
        <w:trPr>
          <w:cantSplit/>
          <w:trHeight w:val="300"/>
        </w:trPr>
        <w:tc>
          <w:tcPr>
            <w:tcW w:w="105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129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191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151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     </w:t>
            </w:r>
          </w:p>
        </w:tc>
        <w:tc>
          <w:tcPr>
            <w:tcW w:w="12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     </w:t>
            </w:r>
          </w:p>
        </w:tc>
        <w:tc>
          <w:tcPr>
            <w:tcW w:w="123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0</w:t>
            </w:r>
          </w:p>
        </w:tc>
      </w:tr>
      <w:tr w:rsidR="007B2875" w:rsidTr="00034C44">
        <w:trPr>
          <w:cantSplit/>
          <w:trHeight w:val="300"/>
        </w:trPr>
        <w:tc>
          <w:tcPr>
            <w:tcW w:w="105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129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191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151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     </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     </w:t>
            </w:r>
          </w:p>
        </w:tc>
        <w:tc>
          <w:tcPr>
            <w:tcW w:w="12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     </w:t>
            </w:r>
          </w:p>
        </w:tc>
        <w:tc>
          <w:tcPr>
            <w:tcW w:w="123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0</w:t>
            </w:r>
          </w:p>
        </w:tc>
      </w:tr>
      <w:tr w:rsidR="00034C44">
        <w:trPr>
          <w:cantSplit/>
          <w:trHeight w:val="253"/>
        </w:trPr>
        <w:tc>
          <w:tcPr>
            <w:tcW w:w="5782"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034C44" w:rsidRDefault="00034C44">
            <w:pPr>
              <w:rPr>
                <w:rFonts w:ascii="Times New Roman Bold" w:hAnsi="Times New Roman Bold"/>
                <w:sz w:val="20"/>
              </w:rPr>
            </w:pPr>
            <w:r>
              <w:rPr>
                <w:rFonts w:ascii="Times New Roman Bold" w:hAnsi="Times New Roman Bold"/>
                <w:sz w:val="20"/>
              </w:rPr>
              <w:lastRenderedPageBreak/>
              <w:t>Total Grant Resources</w:t>
            </w:r>
          </w:p>
        </w:tc>
        <w:tc>
          <w:tcPr>
            <w:tcW w:w="109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034C44" w:rsidRDefault="00034C44" w:rsidP="00123B20">
            <w:pPr>
              <w:jc w:val="right"/>
              <w:rPr>
                <w:sz w:val="20"/>
              </w:rPr>
            </w:pPr>
            <w:r>
              <w:rPr>
                <w:sz w:val="20"/>
              </w:rPr>
              <w:t>2,201,614</w:t>
            </w:r>
          </w:p>
        </w:tc>
        <w:tc>
          <w:tcPr>
            <w:tcW w:w="123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034C44" w:rsidRDefault="00034C44" w:rsidP="00123B20">
            <w:pPr>
              <w:jc w:val="right"/>
              <w:rPr>
                <w:sz w:val="20"/>
              </w:rPr>
            </w:pPr>
            <w:r>
              <w:rPr>
                <w:sz w:val="20"/>
              </w:rPr>
              <w:t>190,000</w:t>
            </w:r>
          </w:p>
        </w:tc>
        <w:tc>
          <w:tcPr>
            <w:tcW w:w="1231"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034C44" w:rsidRDefault="00034C44" w:rsidP="00123B20">
            <w:pPr>
              <w:jc w:val="right"/>
              <w:rPr>
                <w:sz w:val="20"/>
              </w:rPr>
            </w:pPr>
            <w:r>
              <w:rPr>
                <w:sz w:val="20"/>
              </w:rPr>
              <w:t>2,391,614</w:t>
            </w:r>
          </w:p>
        </w:tc>
      </w:tr>
    </w:tbl>
    <w:p w:rsidR="007B2875" w:rsidRDefault="007B2875">
      <w:pPr>
        <w:pStyle w:val="FreeForm"/>
        <w:ind w:left="5"/>
        <w:rPr>
          <w:rFonts w:ascii="Times New Roman Bold" w:hAnsi="Times New Roman Bold"/>
          <w:smallCaps/>
          <w:sz w:val="22"/>
        </w:rPr>
      </w:pPr>
    </w:p>
    <w:p w:rsidR="007B2875" w:rsidRDefault="007B2875">
      <w:pPr>
        <w:pStyle w:val="FreeFormA"/>
        <w:rPr>
          <w:rFonts w:ascii="Times New Roman Bold" w:hAnsi="Times New Roman Bold"/>
          <w:smallCaps/>
          <w:sz w:val="22"/>
        </w:rPr>
      </w:pPr>
    </w:p>
    <w:p w:rsidR="007B2875" w:rsidRDefault="00BF1DCA">
      <w:pPr>
        <w:pStyle w:val="Footer1"/>
        <w:tabs>
          <w:tab w:val="clear" w:pos="4320"/>
          <w:tab w:val="clear" w:pos="8640"/>
        </w:tabs>
        <w:rPr>
          <w:sz w:val="18"/>
        </w:rPr>
      </w:pPr>
      <w:proofErr w:type="gramStart"/>
      <w:r>
        <w:rPr>
          <w:smallCaps/>
          <w:sz w:val="18"/>
          <w:vertAlign w:val="superscript"/>
        </w:rPr>
        <w:t xml:space="preserve">1 </w:t>
      </w:r>
      <w:r>
        <w:rPr>
          <w:sz w:val="18"/>
        </w:rPr>
        <w:t xml:space="preserve"> In</w:t>
      </w:r>
      <w:proofErr w:type="gramEnd"/>
      <w:r>
        <w:rPr>
          <w:sz w:val="18"/>
        </w:rPr>
        <w:t xml:space="preserve"> case of a single focal area, single country, single GEF Agency project, and single trust fund project, no need to provide information for   </w:t>
      </w:r>
    </w:p>
    <w:p w:rsidR="007B2875" w:rsidRDefault="00BF1DCA">
      <w:pPr>
        <w:pStyle w:val="Footer1"/>
        <w:tabs>
          <w:tab w:val="clear" w:pos="4320"/>
          <w:tab w:val="clear" w:pos="8640"/>
        </w:tabs>
        <w:rPr>
          <w:sz w:val="18"/>
        </w:rPr>
      </w:pPr>
      <w:r>
        <w:rPr>
          <w:sz w:val="18"/>
        </w:rPr>
        <w:t xml:space="preserve">    </w:t>
      </w:r>
      <w:proofErr w:type="gramStart"/>
      <w:r>
        <w:rPr>
          <w:sz w:val="18"/>
        </w:rPr>
        <w:t>this</w:t>
      </w:r>
      <w:proofErr w:type="gramEnd"/>
      <w:r>
        <w:rPr>
          <w:sz w:val="18"/>
        </w:rPr>
        <w:t xml:space="preserve"> table. PMC amount from Table B should be included proportionately to the focal area amount in this table. </w:t>
      </w:r>
    </w:p>
    <w:p w:rsidR="007B2875" w:rsidRDefault="00BF1DCA">
      <w:pPr>
        <w:pStyle w:val="Footer1"/>
        <w:tabs>
          <w:tab w:val="clear" w:pos="4320"/>
          <w:tab w:val="clear" w:pos="8640"/>
        </w:tabs>
        <w:rPr>
          <w:sz w:val="18"/>
        </w:rPr>
      </w:pPr>
      <w:r>
        <w:rPr>
          <w:smallCaps/>
          <w:sz w:val="18"/>
          <w:vertAlign w:val="superscript"/>
        </w:rPr>
        <w:t xml:space="preserve">2   </w:t>
      </w:r>
      <w:r>
        <w:rPr>
          <w:sz w:val="18"/>
        </w:rPr>
        <w:t>Indicate fees related to this project.</w:t>
      </w:r>
    </w:p>
    <w:p w:rsidR="007B2875" w:rsidRDefault="007B2875">
      <w:pPr>
        <w:pStyle w:val="Footer1"/>
        <w:tabs>
          <w:tab w:val="clear" w:pos="4320"/>
          <w:tab w:val="clear" w:pos="8640"/>
        </w:tabs>
        <w:rPr>
          <w:sz w:val="18"/>
        </w:rPr>
      </w:pPr>
    </w:p>
    <w:p w:rsidR="007B2875" w:rsidRDefault="00BF1DCA">
      <w:pPr>
        <w:pStyle w:val="Footer1"/>
        <w:numPr>
          <w:ilvl w:val="0"/>
          <w:numId w:val="2"/>
        </w:numPr>
        <w:tabs>
          <w:tab w:val="clear" w:pos="4320"/>
          <w:tab w:val="clear" w:pos="8640"/>
        </w:tabs>
        <w:spacing w:after="120"/>
        <w:ind w:hanging="720"/>
        <w:rPr>
          <w:rFonts w:ascii="Times New Roman Bold" w:hAnsi="Times New Roman Bold"/>
          <w:smallCaps/>
          <w:sz w:val="22"/>
        </w:rPr>
      </w:pPr>
      <w:r>
        <w:rPr>
          <w:rFonts w:ascii="Times New Roman Bold" w:hAnsi="Times New Roman Bold"/>
          <w:smallCaps/>
          <w:sz w:val="22"/>
        </w:rPr>
        <w:t xml:space="preserve"> Project preparation grant (</w:t>
      </w:r>
      <w:proofErr w:type="spellStart"/>
      <w:r>
        <w:rPr>
          <w:rFonts w:ascii="Times New Roman Bold" w:hAnsi="Times New Roman Bold"/>
          <w:smallCaps/>
          <w:sz w:val="22"/>
        </w:rPr>
        <w:t>ppg</w:t>
      </w:r>
      <w:proofErr w:type="spellEnd"/>
      <w:r>
        <w:rPr>
          <w:rFonts w:ascii="Times New Roman Bold" w:hAnsi="Times New Roman Bold"/>
          <w:smallCaps/>
          <w:sz w:val="22"/>
        </w:rPr>
        <w:t>)</w:t>
      </w:r>
      <w:r>
        <w:rPr>
          <w:rStyle w:val="FootnoteReference1"/>
          <w:rFonts w:ascii="Times New Roman Bold" w:hAnsi="Times New Roman Bold"/>
          <w:smallCaps/>
          <w:sz w:val="22"/>
        </w:rPr>
        <w:footnoteReference w:id="2"/>
      </w:r>
    </w:p>
    <w:p w:rsidR="007B2875" w:rsidRDefault="00BF1DCA">
      <w:pPr>
        <w:pStyle w:val="Footer1"/>
        <w:rPr>
          <w:sz w:val="22"/>
        </w:rPr>
      </w:pPr>
      <w:r>
        <w:rPr>
          <w:sz w:val="22"/>
        </w:rPr>
        <w:t>Please check on the appropriate box for PPG as needed for the project according to the GEF Project Grant:</w:t>
      </w:r>
    </w:p>
    <w:p w:rsidR="007B2875" w:rsidRDefault="00BF1DCA">
      <w:pPr>
        <w:pStyle w:val="Footer1"/>
        <w:tabs>
          <w:tab w:val="clear" w:pos="4320"/>
          <w:tab w:val="clear" w:pos="8640"/>
        </w:tabs>
        <w:rPr>
          <w:sz w:val="22"/>
        </w:rPr>
      </w:pPr>
      <w:r>
        <w:rPr>
          <w:sz w:val="22"/>
        </w:rPr>
        <w:tab/>
        <w:t xml:space="preserve">           </w:t>
      </w:r>
      <w:r>
        <w:rPr>
          <w:sz w:val="22"/>
        </w:rPr>
        <w:tab/>
      </w:r>
      <w:r>
        <w:rPr>
          <w:sz w:val="22"/>
        </w:rPr>
        <w:tab/>
      </w:r>
      <w:r>
        <w:rPr>
          <w:sz w:val="22"/>
        </w:rPr>
        <w:tab/>
      </w:r>
      <w:r>
        <w:rPr>
          <w:sz w:val="22"/>
        </w:rPr>
        <w:tab/>
      </w:r>
      <w:r>
        <w:rPr>
          <w:sz w:val="22"/>
        </w:rPr>
        <w:tab/>
      </w:r>
      <w:r>
        <w:rPr>
          <w:sz w:val="22"/>
        </w:rPr>
        <w:tab/>
        <w:t xml:space="preserve">       </w:t>
      </w:r>
      <w:r>
        <w:rPr>
          <w:sz w:val="22"/>
          <w:u w:val="single"/>
        </w:rPr>
        <w:t xml:space="preserve">Amount </w:t>
      </w:r>
      <w:r>
        <w:rPr>
          <w:sz w:val="22"/>
        </w:rPr>
        <w:t xml:space="preserve">                        </w:t>
      </w:r>
      <w:r>
        <w:rPr>
          <w:sz w:val="22"/>
          <w:u w:val="single"/>
        </w:rPr>
        <w:t xml:space="preserve">Agency Fee                 </w:t>
      </w:r>
    </w:p>
    <w:p w:rsidR="007B2875" w:rsidRDefault="00BF1DCA">
      <w:pPr>
        <w:pStyle w:val="Footer1"/>
        <w:tabs>
          <w:tab w:val="clear" w:pos="4320"/>
          <w:tab w:val="clear" w:pos="8640"/>
        </w:tabs>
        <w:rPr>
          <w:sz w:val="22"/>
        </w:rPr>
      </w:pPr>
      <w:r>
        <w:rPr>
          <w:sz w:val="22"/>
        </w:rPr>
        <w:tab/>
      </w:r>
      <w:r>
        <w:rPr>
          <w:sz w:val="22"/>
        </w:rPr>
        <w:tab/>
      </w:r>
      <w:r>
        <w:rPr>
          <w:sz w:val="22"/>
        </w:rPr>
        <w:tab/>
      </w:r>
      <w:r>
        <w:rPr>
          <w:sz w:val="22"/>
        </w:rPr>
        <w:tab/>
      </w:r>
      <w:r>
        <w:rPr>
          <w:sz w:val="22"/>
        </w:rPr>
        <w:tab/>
      </w:r>
      <w:r>
        <w:rPr>
          <w:sz w:val="22"/>
        </w:rPr>
        <w:tab/>
      </w:r>
      <w:r>
        <w:rPr>
          <w:sz w:val="22"/>
        </w:rPr>
        <w:tab/>
        <w:t xml:space="preserve">       </w:t>
      </w:r>
      <w:r>
        <w:rPr>
          <w:sz w:val="22"/>
          <w:u w:val="single"/>
        </w:rPr>
        <w:t>Requested ($)</w:t>
      </w:r>
      <w:r>
        <w:rPr>
          <w:sz w:val="22"/>
          <w:u w:val="single"/>
        </w:rPr>
        <w:tab/>
      </w:r>
      <w:r>
        <w:rPr>
          <w:sz w:val="22"/>
        </w:rPr>
        <w:t xml:space="preserve">      </w:t>
      </w:r>
      <w:r>
        <w:rPr>
          <w:sz w:val="22"/>
          <w:u w:val="single"/>
        </w:rPr>
        <w:t>for PPG ($)</w:t>
      </w:r>
      <w:r>
        <w:rPr>
          <w:rStyle w:val="FootnoteReference1"/>
          <w:sz w:val="22"/>
          <w:u w:val="single"/>
        </w:rPr>
        <w:footnoteReference w:id="3"/>
      </w:r>
    </w:p>
    <w:p w:rsidR="007B2875" w:rsidRDefault="00BF1DCA">
      <w:pPr>
        <w:pStyle w:val="Footer1"/>
        <w:numPr>
          <w:ilvl w:val="0"/>
          <w:numId w:val="3"/>
        </w:numPr>
        <w:tabs>
          <w:tab w:val="clear" w:pos="4320"/>
          <w:tab w:val="clear" w:pos="8640"/>
        </w:tabs>
        <w:ind w:hanging="360"/>
        <w:rPr>
          <w:rFonts w:ascii="Lucida Grande" w:hAnsi="Lucida Grande"/>
          <w:sz w:val="22"/>
        </w:rPr>
      </w:pPr>
      <w:r>
        <w:rPr>
          <w:sz w:val="22"/>
        </w:rPr>
        <w:t xml:space="preserve">No PPG required.                                           </w:t>
      </w:r>
      <w:r>
        <w:rPr>
          <w:sz w:val="22"/>
        </w:rPr>
        <w:tab/>
      </w:r>
      <w:r>
        <w:rPr>
          <w:sz w:val="22"/>
        </w:rPr>
        <w:tab/>
        <w:t xml:space="preserve">       </w:t>
      </w:r>
      <w:r>
        <w:rPr>
          <w:sz w:val="22"/>
          <w:u w:val="single"/>
        </w:rPr>
        <w:t>___-- 0--________</w:t>
      </w:r>
      <w:r>
        <w:rPr>
          <w:sz w:val="22"/>
        </w:rPr>
        <w:t xml:space="preserve">       </w:t>
      </w:r>
      <w:r>
        <w:rPr>
          <w:sz w:val="22"/>
          <w:u w:val="single"/>
        </w:rPr>
        <w:t>_  --0--_______</w:t>
      </w:r>
    </w:p>
    <w:p w:rsidR="007B2875" w:rsidRDefault="00BF1DCA">
      <w:pPr>
        <w:pStyle w:val="Footer1"/>
        <w:numPr>
          <w:ilvl w:val="0"/>
          <w:numId w:val="3"/>
        </w:numPr>
        <w:tabs>
          <w:tab w:val="clear" w:pos="4320"/>
          <w:tab w:val="clear" w:pos="8640"/>
        </w:tabs>
        <w:ind w:hanging="360"/>
        <w:rPr>
          <w:rFonts w:ascii="Lucida Grande" w:hAnsi="Lucida Grande"/>
          <w:sz w:val="22"/>
        </w:rPr>
      </w:pPr>
      <w:r>
        <w:rPr>
          <w:sz w:val="22"/>
        </w:rPr>
        <w:t>(</w:t>
      </w:r>
      <w:proofErr w:type="spellStart"/>
      <w:r>
        <w:rPr>
          <w:sz w:val="22"/>
        </w:rPr>
        <w:t>upto</w:t>
      </w:r>
      <w:proofErr w:type="spellEnd"/>
      <w:r>
        <w:rPr>
          <w:sz w:val="22"/>
        </w:rPr>
        <w:t>) $50k for projects up to &amp; including $1 million</w:t>
      </w:r>
      <w:r>
        <w:rPr>
          <w:sz w:val="22"/>
        </w:rPr>
        <w:tab/>
        <w:t xml:space="preserve">       ___</w:t>
      </w:r>
      <w:r>
        <w:rPr>
          <w:sz w:val="20"/>
          <w:u w:val="single"/>
        </w:rPr>
        <w:t>     </w:t>
      </w:r>
      <w:r>
        <w:rPr>
          <w:sz w:val="22"/>
          <w:u w:val="single"/>
        </w:rPr>
        <w:t>_</w:t>
      </w:r>
      <w:r>
        <w:rPr>
          <w:sz w:val="22"/>
        </w:rPr>
        <w:t>_______      ___</w:t>
      </w:r>
      <w:r>
        <w:rPr>
          <w:sz w:val="22"/>
          <w:u w:val="single"/>
        </w:rPr>
        <w:t>     _</w:t>
      </w:r>
      <w:r>
        <w:rPr>
          <w:sz w:val="22"/>
        </w:rPr>
        <w:t>____</w:t>
      </w:r>
    </w:p>
    <w:p w:rsidR="007B2875" w:rsidRDefault="00BF1DCA">
      <w:pPr>
        <w:pStyle w:val="Footer1"/>
        <w:numPr>
          <w:ilvl w:val="0"/>
          <w:numId w:val="3"/>
        </w:numPr>
        <w:tabs>
          <w:tab w:val="clear" w:pos="4320"/>
          <w:tab w:val="clear" w:pos="8640"/>
        </w:tabs>
        <w:ind w:hanging="360"/>
        <w:rPr>
          <w:rFonts w:ascii="Lucida Grande" w:hAnsi="Lucida Grande"/>
          <w:sz w:val="22"/>
        </w:rPr>
      </w:pPr>
      <w:r>
        <w:rPr>
          <w:sz w:val="22"/>
        </w:rPr>
        <w:t>(</w:t>
      </w:r>
      <w:proofErr w:type="spellStart"/>
      <w:r>
        <w:rPr>
          <w:sz w:val="22"/>
        </w:rPr>
        <w:t>upto</w:t>
      </w:r>
      <w:proofErr w:type="spellEnd"/>
      <w:r>
        <w:rPr>
          <w:sz w:val="22"/>
        </w:rPr>
        <w:t xml:space="preserve">)$100k for projects up to &amp; including $3 million      </w:t>
      </w:r>
      <w:r w:rsidR="00582FAC">
        <w:rPr>
          <w:sz w:val="22"/>
        </w:rPr>
        <w:t>90,263</w:t>
      </w:r>
      <w:r>
        <w:rPr>
          <w:sz w:val="22"/>
          <w:u w:val="single"/>
        </w:rPr>
        <w:t>_</w:t>
      </w:r>
      <w:r>
        <w:rPr>
          <w:sz w:val="22"/>
        </w:rPr>
        <w:t>____ _        ___</w:t>
      </w:r>
      <w:r w:rsidR="00582FAC">
        <w:rPr>
          <w:sz w:val="22"/>
          <w:u w:val="single"/>
        </w:rPr>
        <w:t>8,</w:t>
      </w:r>
      <w:r w:rsidR="00034C44">
        <w:rPr>
          <w:sz w:val="22"/>
          <w:u w:val="single"/>
        </w:rPr>
        <w:t>123</w:t>
      </w:r>
    </w:p>
    <w:p w:rsidR="007B2875" w:rsidRDefault="00BF1DCA">
      <w:pPr>
        <w:pStyle w:val="Footer1"/>
        <w:numPr>
          <w:ilvl w:val="0"/>
          <w:numId w:val="3"/>
        </w:numPr>
        <w:tabs>
          <w:tab w:val="clear" w:pos="4320"/>
          <w:tab w:val="clear" w:pos="8640"/>
        </w:tabs>
        <w:ind w:hanging="360"/>
        <w:rPr>
          <w:rFonts w:ascii="Lucida Grande" w:hAnsi="Lucida Grande"/>
          <w:sz w:val="22"/>
        </w:rPr>
      </w:pPr>
      <w:r>
        <w:rPr>
          <w:sz w:val="22"/>
        </w:rPr>
        <w:t>(</w:t>
      </w:r>
      <w:proofErr w:type="spellStart"/>
      <w:r>
        <w:rPr>
          <w:sz w:val="22"/>
        </w:rPr>
        <w:t>upto</w:t>
      </w:r>
      <w:proofErr w:type="spellEnd"/>
      <w:r>
        <w:rPr>
          <w:sz w:val="22"/>
        </w:rPr>
        <w:t>)$150k for projects up to &amp; including $6 million      ___</w:t>
      </w:r>
      <w:r>
        <w:rPr>
          <w:sz w:val="20"/>
          <w:u w:val="single"/>
        </w:rPr>
        <w:t>     </w:t>
      </w:r>
      <w:r>
        <w:rPr>
          <w:sz w:val="22"/>
          <w:u w:val="single"/>
        </w:rPr>
        <w:t>_</w:t>
      </w:r>
      <w:r>
        <w:rPr>
          <w:sz w:val="22"/>
        </w:rPr>
        <w:t>_______      ___</w:t>
      </w:r>
      <w:r>
        <w:rPr>
          <w:sz w:val="22"/>
          <w:u w:val="single"/>
        </w:rPr>
        <w:t>     _</w:t>
      </w:r>
      <w:r>
        <w:rPr>
          <w:sz w:val="22"/>
        </w:rPr>
        <w:t>____</w:t>
      </w:r>
    </w:p>
    <w:p w:rsidR="007B2875" w:rsidRDefault="00BF1DCA">
      <w:pPr>
        <w:pStyle w:val="Footer1"/>
        <w:numPr>
          <w:ilvl w:val="0"/>
          <w:numId w:val="3"/>
        </w:numPr>
        <w:tabs>
          <w:tab w:val="clear" w:pos="4320"/>
          <w:tab w:val="clear" w:pos="8640"/>
        </w:tabs>
        <w:ind w:hanging="360"/>
        <w:rPr>
          <w:rFonts w:ascii="Lucida Grande" w:hAnsi="Lucida Grande"/>
          <w:sz w:val="22"/>
        </w:rPr>
      </w:pPr>
      <w:r>
        <w:rPr>
          <w:sz w:val="22"/>
        </w:rPr>
        <w:t xml:space="preserve"> (</w:t>
      </w:r>
      <w:proofErr w:type="spellStart"/>
      <w:r>
        <w:rPr>
          <w:sz w:val="22"/>
        </w:rPr>
        <w:t>upto</w:t>
      </w:r>
      <w:proofErr w:type="spellEnd"/>
      <w:r>
        <w:rPr>
          <w:sz w:val="22"/>
        </w:rPr>
        <w:t>)$200k for projects up to &amp; including $10 million   ___</w:t>
      </w:r>
      <w:r>
        <w:rPr>
          <w:sz w:val="20"/>
          <w:u w:val="single"/>
        </w:rPr>
        <w:t>     </w:t>
      </w:r>
      <w:r>
        <w:rPr>
          <w:sz w:val="22"/>
          <w:u w:val="single"/>
        </w:rPr>
        <w:t>_</w:t>
      </w:r>
      <w:r>
        <w:rPr>
          <w:sz w:val="22"/>
        </w:rPr>
        <w:t>_______      ___</w:t>
      </w:r>
      <w:r>
        <w:rPr>
          <w:sz w:val="22"/>
          <w:u w:val="single"/>
        </w:rPr>
        <w:t>     _</w:t>
      </w:r>
      <w:r>
        <w:rPr>
          <w:sz w:val="22"/>
        </w:rPr>
        <w:t>____</w:t>
      </w:r>
    </w:p>
    <w:p w:rsidR="007B2875" w:rsidRDefault="00BF1DCA">
      <w:pPr>
        <w:pStyle w:val="Footer1"/>
        <w:numPr>
          <w:ilvl w:val="0"/>
          <w:numId w:val="3"/>
        </w:numPr>
        <w:tabs>
          <w:tab w:val="clear" w:pos="4320"/>
          <w:tab w:val="clear" w:pos="8640"/>
        </w:tabs>
        <w:ind w:hanging="360"/>
        <w:rPr>
          <w:rFonts w:ascii="Lucida Grande" w:hAnsi="Lucida Grande"/>
          <w:sz w:val="22"/>
        </w:rPr>
      </w:pPr>
      <w:r>
        <w:rPr>
          <w:sz w:val="22"/>
        </w:rPr>
        <w:t xml:space="preserve"> (</w:t>
      </w:r>
      <w:proofErr w:type="spellStart"/>
      <w:r>
        <w:rPr>
          <w:sz w:val="22"/>
        </w:rPr>
        <w:t>upto</w:t>
      </w:r>
      <w:proofErr w:type="spellEnd"/>
      <w:r>
        <w:rPr>
          <w:sz w:val="22"/>
        </w:rPr>
        <w:t xml:space="preserve">)$300k for projects above $10 million     </w:t>
      </w:r>
      <w:r>
        <w:rPr>
          <w:sz w:val="22"/>
        </w:rPr>
        <w:tab/>
        <w:t xml:space="preserve">       ___</w:t>
      </w:r>
      <w:r>
        <w:rPr>
          <w:sz w:val="20"/>
          <w:u w:val="single"/>
        </w:rPr>
        <w:t>     </w:t>
      </w:r>
      <w:r>
        <w:rPr>
          <w:sz w:val="22"/>
          <w:u w:val="single"/>
        </w:rPr>
        <w:t>_</w:t>
      </w:r>
      <w:r>
        <w:rPr>
          <w:sz w:val="22"/>
        </w:rPr>
        <w:t>_______      ___</w:t>
      </w:r>
      <w:r>
        <w:rPr>
          <w:sz w:val="22"/>
          <w:u w:val="single"/>
        </w:rPr>
        <w:t>     _</w:t>
      </w:r>
      <w:r>
        <w:rPr>
          <w:sz w:val="22"/>
        </w:rPr>
        <w:t>____</w:t>
      </w:r>
    </w:p>
    <w:p w:rsidR="007B2875" w:rsidRDefault="007B2875">
      <w:pPr>
        <w:pStyle w:val="Footer1"/>
        <w:rPr>
          <w:rFonts w:ascii="Times New Roman Bold" w:hAnsi="Times New Roman Bold"/>
          <w:caps/>
          <w:sz w:val="22"/>
          <w:u w:val="single"/>
        </w:rPr>
      </w:pPr>
    </w:p>
    <w:p w:rsidR="007B2875" w:rsidRDefault="00BF1DCA">
      <w:pPr>
        <w:pStyle w:val="Footer1"/>
        <w:tabs>
          <w:tab w:val="clear" w:pos="4320"/>
          <w:tab w:val="clear" w:pos="8640"/>
        </w:tabs>
        <w:rPr>
          <w:rFonts w:ascii="Times New Roman Bold" w:hAnsi="Times New Roman Bold"/>
          <w:sz w:val="22"/>
        </w:rPr>
      </w:pPr>
      <w:proofErr w:type="gramStart"/>
      <w:r>
        <w:rPr>
          <w:rFonts w:ascii="Times New Roman Bold" w:hAnsi="Times New Roman Bold"/>
          <w:smallCaps/>
          <w:sz w:val="22"/>
        </w:rPr>
        <w:t>PPG  Amount</w:t>
      </w:r>
      <w:proofErr w:type="gramEnd"/>
      <w:r>
        <w:rPr>
          <w:rFonts w:ascii="Times New Roman Bold" w:hAnsi="Times New Roman Bold"/>
          <w:smallCaps/>
          <w:sz w:val="22"/>
        </w:rPr>
        <w:t xml:space="preserve"> requested by agency(</w:t>
      </w:r>
      <w:proofErr w:type="spellStart"/>
      <w:r>
        <w:rPr>
          <w:rFonts w:ascii="Times New Roman Bold" w:hAnsi="Times New Roman Bold"/>
          <w:smallCaps/>
          <w:sz w:val="22"/>
        </w:rPr>
        <w:t>ies</w:t>
      </w:r>
      <w:proofErr w:type="spellEnd"/>
      <w:r>
        <w:rPr>
          <w:rFonts w:ascii="Times New Roman Bold" w:hAnsi="Times New Roman Bold"/>
          <w:smallCaps/>
          <w:sz w:val="22"/>
        </w:rPr>
        <w:t>), focal area(s) and country(</w:t>
      </w:r>
      <w:proofErr w:type="spellStart"/>
      <w:r>
        <w:rPr>
          <w:rFonts w:ascii="Times New Roman Bold" w:hAnsi="Times New Roman Bold"/>
          <w:smallCaps/>
          <w:sz w:val="22"/>
        </w:rPr>
        <w:t>ies</w:t>
      </w:r>
      <w:proofErr w:type="spellEnd"/>
      <w:r>
        <w:rPr>
          <w:rFonts w:ascii="Times New Roman Bold" w:hAnsi="Times New Roman Bold"/>
          <w:smallCaps/>
          <w:sz w:val="22"/>
        </w:rPr>
        <w:t xml:space="preserve">) for MFA and/or MTF </w:t>
      </w:r>
      <w:proofErr w:type="spellStart"/>
      <w:r>
        <w:rPr>
          <w:rFonts w:ascii="Times New Roman Bold" w:hAnsi="Times New Roman Bold"/>
          <w:smallCaps/>
          <w:sz w:val="22"/>
        </w:rPr>
        <w:t>roject</w:t>
      </w:r>
      <w:proofErr w:type="spellEnd"/>
      <w:r>
        <w:rPr>
          <w:rFonts w:ascii="Times New Roman Bold" w:hAnsi="Times New Roman Bold"/>
          <w:smallCaps/>
          <w:sz w:val="22"/>
        </w:rPr>
        <w:t xml:space="preserve"> only</w:t>
      </w:r>
    </w:p>
    <w:tbl>
      <w:tblPr>
        <w:tblW w:w="0" w:type="auto"/>
        <w:tblInd w:w="5" w:type="dxa"/>
        <w:tblLayout w:type="fixed"/>
        <w:tblLook w:val="0000"/>
      </w:tblPr>
      <w:tblGrid>
        <w:gridCol w:w="1379"/>
        <w:gridCol w:w="1395"/>
        <w:gridCol w:w="1888"/>
        <w:gridCol w:w="1398"/>
        <w:gridCol w:w="1067"/>
        <w:gridCol w:w="1067"/>
        <w:gridCol w:w="1150"/>
      </w:tblGrid>
      <w:tr w:rsidR="007B2875">
        <w:trPr>
          <w:cantSplit/>
          <w:trHeight w:val="268"/>
        </w:trPr>
        <w:tc>
          <w:tcPr>
            <w:tcW w:w="1379"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spacing w:after="80"/>
              <w:jc w:val="right"/>
              <w:rPr>
                <w:rFonts w:ascii="Times New Roman Bold" w:hAnsi="Times New Roman Bold"/>
                <w:sz w:val="20"/>
              </w:rPr>
            </w:pPr>
            <w:r>
              <w:rPr>
                <w:rFonts w:ascii="Times New Roman Bold" w:hAnsi="Times New Roman Bold"/>
                <w:sz w:val="20"/>
              </w:rPr>
              <w:t>Trust Fund</w:t>
            </w:r>
          </w:p>
        </w:tc>
        <w:tc>
          <w:tcPr>
            <w:tcW w:w="139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spacing w:after="80"/>
              <w:jc w:val="right"/>
              <w:rPr>
                <w:rFonts w:ascii="Times New Roman Bold" w:hAnsi="Times New Roman Bold"/>
                <w:sz w:val="20"/>
              </w:rPr>
            </w:pPr>
            <w:r>
              <w:rPr>
                <w:rFonts w:ascii="Times New Roman Bold" w:hAnsi="Times New Roman Bold"/>
                <w:sz w:val="20"/>
              </w:rPr>
              <w:t>GEF Agency</w:t>
            </w:r>
          </w:p>
        </w:tc>
        <w:tc>
          <w:tcPr>
            <w:tcW w:w="1888"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right"/>
              <w:rPr>
                <w:rFonts w:ascii="Times New Roman Bold" w:hAnsi="Times New Roman Bold"/>
                <w:sz w:val="20"/>
              </w:rPr>
            </w:pPr>
            <w:r>
              <w:rPr>
                <w:rFonts w:ascii="Times New Roman Bold" w:hAnsi="Times New Roman Bold"/>
                <w:sz w:val="20"/>
              </w:rPr>
              <w:t>Focal Area</w:t>
            </w:r>
          </w:p>
        </w:tc>
        <w:tc>
          <w:tcPr>
            <w:tcW w:w="139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spacing w:after="80"/>
              <w:jc w:val="right"/>
              <w:rPr>
                <w:rFonts w:ascii="Times New Roman Bold" w:hAnsi="Times New Roman Bold"/>
                <w:sz w:val="20"/>
              </w:rPr>
            </w:pPr>
            <w:r>
              <w:rPr>
                <w:rFonts w:ascii="Times New Roman Bold" w:hAnsi="Times New Roman Bold"/>
                <w:sz w:val="20"/>
              </w:rPr>
              <w:t>Country Name/</w:t>
            </w:r>
          </w:p>
          <w:p w:rsidR="007B2875" w:rsidRDefault="00BF1DCA">
            <w:pPr>
              <w:spacing w:after="80"/>
              <w:jc w:val="right"/>
              <w:rPr>
                <w:rFonts w:ascii="Times New Roman Bold" w:hAnsi="Times New Roman Bold"/>
                <w:sz w:val="20"/>
              </w:rPr>
            </w:pPr>
            <w:r>
              <w:rPr>
                <w:rFonts w:ascii="Times New Roman Bold" w:hAnsi="Times New Roman Bold"/>
                <w:sz w:val="20"/>
              </w:rPr>
              <w:t>Global</w:t>
            </w:r>
          </w:p>
        </w:tc>
        <w:tc>
          <w:tcPr>
            <w:tcW w:w="3284"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spacing w:after="80"/>
              <w:jc w:val="right"/>
              <w:rPr>
                <w:rFonts w:ascii="Times New Roman Bold" w:hAnsi="Times New Roman Bold"/>
                <w:sz w:val="20"/>
              </w:rPr>
            </w:pPr>
            <w:r>
              <w:rPr>
                <w:rFonts w:ascii="Times New Roman Bold" w:hAnsi="Times New Roman Bold"/>
                <w:sz w:val="20"/>
              </w:rPr>
              <w:t>(in $)</w:t>
            </w:r>
          </w:p>
        </w:tc>
      </w:tr>
      <w:tr w:rsidR="007B2875">
        <w:trPr>
          <w:cantSplit/>
          <w:trHeight w:val="430"/>
        </w:trPr>
        <w:tc>
          <w:tcPr>
            <w:tcW w:w="1379" w:type="dxa"/>
            <w:vMerge/>
            <w:tcBorders>
              <w:top w:val="single" w:sz="8"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7B2875">
            <w:pPr>
              <w:spacing w:after="80"/>
              <w:jc w:val="right"/>
            </w:pPr>
          </w:p>
        </w:tc>
        <w:tc>
          <w:tcPr>
            <w:tcW w:w="1395" w:type="dxa"/>
            <w:vMerge/>
            <w:tcBorders>
              <w:top w:val="single" w:sz="8"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7B2875">
            <w:pPr>
              <w:spacing w:after="80"/>
              <w:jc w:val="right"/>
            </w:pPr>
          </w:p>
        </w:tc>
        <w:tc>
          <w:tcPr>
            <w:tcW w:w="1888" w:type="dxa"/>
            <w:vMerge/>
            <w:tcBorders>
              <w:top w:val="single" w:sz="8"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7B2875">
            <w:pPr>
              <w:jc w:val="right"/>
            </w:pPr>
          </w:p>
        </w:tc>
        <w:tc>
          <w:tcPr>
            <w:tcW w:w="1397" w:type="dxa"/>
            <w:vMerge/>
            <w:tcBorders>
              <w:top w:val="single" w:sz="8"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7B2875">
            <w:pPr>
              <w:spacing w:after="80"/>
              <w:jc w:val="right"/>
            </w:pPr>
          </w:p>
        </w:tc>
        <w:tc>
          <w:tcPr>
            <w:tcW w:w="106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pPr>
              <w:jc w:val="right"/>
              <w:rPr>
                <w:rFonts w:ascii="Times New Roman Bold" w:hAnsi="Times New Roman Bold"/>
                <w:sz w:val="20"/>
              </w:rPr>
            </w:pPr>
          </w:p>
          <w:p w:rsidR="007B2875" w:rsidRDefault="00BF1DCA">
            <w:pPr>
              <w:jc w:val="right"/>
              <w:rPr>
                <w:sz w:val="20"/>
              </w:rPr>
            </w:pPr>
            <w:r>
              <w:rPr>
                <w:rFonts w:ascii="Times New Roman Bold" w:hAnsi="Times New Roman Bold"/>
                <w:sz w:val="20"/>
              </w:rPr>
              <w:t xml:space="preserve">PPG </w:t>
            </w:r>
            <w:r>
              <w:rPr>
                <w:sz w:val="20"/>
              </w:rPr>
              <w:t>(a)</w:t>
            </w:r>
          </w:p>
        </w:tc>
        <w:tc>
          <w:tcPr>
            <w:tcW w:w="106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rFonts w:ascii="Times New Roman Bold" w:hAnsi="Times New Roman Bold"/>
                <w:sz w:val="20"/>
              </w:rPr>
            </w:pPr>
            <w:r>
              <w:rPr>
                <w:rFonts w:ascii="Times New Roman Bold" w:hAnsi="Times New Roman Bold"/>
                <w:sz w:val="20"/>
              </w:rPr>
              <w:t>Agency</w:t>
            </w:r>
          </w:p>
          <w:p w:rsidR="007B2875" w:rsidRDefault="00BF1DCA">
            <w:pPr>
              <w:jc w:val="right"/>
              <w:rPr>
                <w:sz w:val="20"/>
              </w:rPr>
            </w:pPr>
            <w:r>
              <w:rPr>
                <w:rFonts w:ascii="Times New Roman Bold" w:hAnsi="Times New Roman Bold"/>
                <w:sz w:val="20"/>
              </w:rPr>
              <w:t xml:space="preserve">Fee </w:t>
            </w:r>
            <w:r>
              <w:rPr>
                <w:sz w:val="20"/>
              </w:rPr>
              <w:t>(b)</w:t>
            </w: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rFonts w:ascii="Times New Roman Bold" w:hAnsi="Times New Roman Bold"/>
                <w:sz w:val="20"/>
              </w:rPr>
            </w:pPr>
            <w:r>
              <w:rPr>
                <w:rFonts w:ascii="Times New Roman Bold" w:hAnsi="Times New Roman Bold"/>
                <w:sz w:val="20"/>
              </w:rPr>
              <w:t>Total</w:t>
            </w:r>
          </w:p>
          <w:p w:rsidR="007B2875" w:rsidRDefault="00BF1DCA">
            <w:pPr>
              <w:jc w:val="right"/>
              <w:rPr>
                <w:sz w:val="20"/>
              </w:rPr>
            </w:pPr>
            <w:r>
              <w:rPr>
                <w:sz w:val="20"/>
              </w:rPr>
              <w:t>c = a + b</w:t>
            </w:r>
          </w:p>
        </w:tc>
      </w:tr>
      <w:tr w:rsidR="007B2875">
        <w:trPr>
          <w:cantSplit/>
          <w:trHeight w:val="243"/>
        </w:trPr>
        <w:tc>
          <w:tcPr>
            <w:tcW w:w="137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mallCaps/>
                <w:sz w:val="20"/>
              </w:rPr>
            </w:pPr>
            <w:r>
              <w:rPr>
                <w:smallCaps/>
                <w:sz w:val="20"/>
              </w:rPr>
              <w:t>GEFTF</w:t>
            </w:r>
          </w:p>
        </w:tc>
        <w:tc>
          <w:tcPr>
            <w:tcW w:w="139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CI</w:t>
            </w:r>
          </w:p>
        </w:tc>
        <w:tc>
          <w:tcPr>
            <w:tcW w:w="188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Climate Change</w:t>
            </w:r>
          </w:p>
        </w:tc>
        <w:tc>
          <w:tcPr>
            <w:tcW w:w="139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 xml:space="preserve">Paraguay </w:t>
            </w:r>
          </w:p>
        </w:tc>
        <w:tc>
          <w:tcPr>
            <w:tcW w:w="106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582FAC">
            <w:pPr>
              <w:jc w:val="right"/>
              <w:rPr>
                <w:sz w:val="20"/>
              </w:rPr>
            </w:pPr>
            <w:r>
              <w:rPr>
                <w:sz w:val="20"/>
              </w:rPr>
              <w:t>90,263</w:t>
            </w:r>
          </w:p>
        </w:tc>
        <w:tc>
          <w:tcPr>
            <w:tcW w:w="106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034C44">
            <w:pPr>
              <w:jc w:val="right"/>
              <w:rPr>
                <w:sz w:val="20"/>
              </w:rPr>
            </w:pPr>
            <w:r>
              <w:rPr>
                <w:sz w:val="20"/>
              </w:rPr>
              <w:t>8,123</w:t>
            </w: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034C44">
            <w:pPr>
              <w:jc w:val="right"/>
              <w:rPr>
                <w:sz w:val="20"/>
              </w:rPr>
            </w:pPr>
            <w:r>
              <w:rPr>
                <w:sz w:val="20"/>
              </w:rPr>
              <w:t>98,386</w:t>
            </w:r>
          </w:p>
        </w:tc>
      </w:tr>
      <w:tr w:rsidR="007B2875">
        <w:trPr>
          <w:cantSplit/>
          <w:trHeight w:val="300"/>
        </w:trPr>
        <w:tc>
          <w:tcPr>
            <w:tcW w:w="137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139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188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139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 </w:t>
            </w:r>
            <w:r>
              <w:rPr>
                <w:sz w:val="20"/>
              </w:rPr>
              <w:t>    </w:t>
            </w:r>
          </w:p>
        </w:tc>
        <w:tc>
          <w:tcPr>
            <w:tcW w:w="106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     </w:t>
            </w:r>
          </w:p>
        </w:tc>
        <w:tc>
          <w:tcPr>
            <w:tcW w:w="106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     </w:t>
            </w: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0</w:t>
            </w:r>
          </w:p>
        </w:tc>
      </w:tr>
      <w:tr w:rsidR="007B2875">
        <w:trPr>
          <w:cantSplit/>
          <w:trHeight w:val="300"/>
        </w:trPr>
        <w:tc>
          <w:tcPr>
            <w:tcW w:w="137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139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1888"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139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0"/>
              </w:rPr>
            </w:pPr>
            <w:r>
              <w:rPr>
                <w:sz w:val="20"/>
              </w:rPr>
              <w:t>     </w:t>
            </w:r>
          </w:p>
        </w:tc>
        <w:tc>
          <w:tcPr>
            <w:tcW w:w="106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     </w:t>
            </w:r>
          </w:p>
        </w:tc>
        <w:tc>
          <w:tcPr>
            <w:tcW w:w="106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     </w:t>
            </w: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right"/>
              <w:rPr>
                <w:sz w:val="20"/>
              </w:rPr>
            </w:pPr>
            <w:r>
              <w:rPr>
                <w:sz w:val="20"/>
              </w:rPr>
              <w:t>0</w:t>
            </w:r>
          </w:p>
        </w:tc>
      </w:tr>
      <w:tr w:rsidR="007B2875">
        <w:trPr>
          <w:cantSplit/>
          <w:trHeight w:val="253"/>
        </w:trPr>
        <w:tc>
          <w:tcPr>
            <w:tcW w:w="6060"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both"/>
              <w:rPr>
                <w:rFonts w:ascii="Times New Roman Bold" w:hAnsi="Times New Roman Bold"/>
                <w:sz w:val="20"/>
              </w:rPr>
            </w:pPr>
            <w:r>
              <w:rPr>
                <w:rFonts w:ascii="Times New Roman Bold" w:hAnsi="Times New Roman Bold"/>
                <w:sz w:val="20"/>
              </w:rPr>
              <w:t>Total PPG Amount</w:t>
            </w:r>
          </w:p>
        </w:tc>
        <w:tc>
          <w:tcPr>
            <w:tcW w:w="106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582FAC">
            <w:pPr>
              <w:jc w:val="right"/>
              <w:rPr>
                <w:sz w:val="20"/>
              </w:rPr>
            </w:pPr>
            <w:r>
              <w:rPr>
                <w:sz w:val="20"/>
              </w:rPr>
              <w:t>90,263</w:t>
            </w:r>
          </w:p>
        </w:tc>
        <w:tc>
          <w:tcPr>
            <w:tcW w:w="106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rsidP="00034C44">
            <w:pPr>
              <w:jc w:val="right"/>
              <w:rPr>
                <w:sz w:val="20"/>
              </w:rPr>
            </w:pPr>
            <w:r>
              <w:rPr>
                <w:sz w:val="20"/>
              </w:rPr>
              <w:t>8,</w:t>
            </w:r>
            <w:r w:rsidR="00034C44">
              <w:rPr>
                <w:sz w:val="20"/>
              </w:rPr>
              <w:t>123</w:t>
            </w:r>
          </w:p>
        </w:tc>
        <w:tc>
          <w:tcPr>
            <w:tcW w:w="114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034C44">
            <w:pPr>
              <w:jc w:val="right"/>
              <w:rPr>
                <w:sz w:val="20"/>
              </w:rPr>
            </w:pPr>
            <w:r>
              <w:rPr>
                <w:sz w:val="20"/>
              </w:rPr>
              <w:t>98,386</w:t>
            </w:r>
          </w:p>
        </w:tc>
      </w:tr>
    </w:tbl>
    <w:p w:rsidR="007B2875" w:rsidRDefault="007B2875">
      <w:pPr>
        <w:pStyle w:val="FreeForm"/>
        <w:ind w:left="5"/>
        <w:rPr>
          <w:rFonts w:ascii="Times New Roman Bold" w:hAnsi="Times New Roman Bold"/>
          <w:sz w:val="22"/>
        </w:rPr>
      </w:pPr>
    </w:p>
    <w:p w:rsidR="007B2875" w:rsidRDefault="007B2875">
      <w:pPr>
        <w:pStyle w:val="FreeFormA"/>
        <w:rPr>
          <w:rFonts w:ascii="Times New Roman Bold" w:hAnsi="Times New Roman Bold"/>
          <w:sz w:val="22"/>
        </w:rPr>
      </w:pPr>
    </w:p>
    <w:p w:rsidR="007B2875" w:rsidRDefault="00BF1DCA">
      <w:pPr>
        <w:pStyle w:val="Footer1"/>
        <w:spacing w:after="120"/>
        <w:rPr>
          <w:sz w:val="20"/>
        </w:rPr>
      </w:pPr>
      <w:r>
        <w:rPr>
          <w:caps/>
          <w:sz w:val="20"/>
        </w:rPr>
        <w:t>MFA:  M</w:t>
      </w:r>
      <w:r>
        <w:rPr>
          <w:sz w:val="20"/>
        </w:rPr>
        <w:t>ulti-focal area projects</w:t>
      </w:r>
      <w:proofErr w:type="gramStart"/>
      <w:r>
        <w:rPr>
          <w:sz w:val="20"/>
        </w:rPr>
        <w:t>;  MTF</w:t>
      </w:r>
      <w:proofErr w:type="gramEnd"/>
      <w:r>
        <w:rPr>
          <w:sz w:val="20"/>
        </w:rPr>
        <w:t>:  Multi-Trust Fund projects.</w:t>
      </w:r>
    </w:p>
    <w:p w:rsidR="007B2875" w:rsidRDefault="00BF1DCA">
      <w:pPr>
        <w:pStyle w:val="FreeForm"/>
        <w:rPr>
          <w:rFonts w:ascii="Times New Roman Bold" w:hAnsi="Times New Roman Bold"/>
          <w:caps/>
          <w:color w:val="2586F6"/>
          <w:sz w:val="22"/>
          <w:u w:val="single"/>
        </w:rPr>
      </w:pPr>
      <w:r>
        <w:br w:type="page"/>
      </w:r>
    </w:p>
    <w:p w:rsidR="007B2875" w:rsidRDefault="007B2875">
      <w:pPr>
        <w:pStyle w:val="Footer1"/>
        <w:spacing w:after="120"/>
        <w:rPr>
          <w:rFonts w:ascii="Times New Roman Bold" w:hAnsi="Times New Roman Bold"/>
          <w:caps/>
          <w:color w:val="2586F6"/>
          <w:sz w:val="22"/>
          <w:u w:val="single"/>
        </w:rPr>
      </w:pPr>
    </w:p>
    <w:p w:rsidR="007B2875" w:rsidRDefault="00BF1DCA">
      <w:pPr>
        <w:pStyle w:val="Footer1"/>
        <w:spacing w:after="120"/>
        <w:rPr>
          <w:rFonts w:ascii="Times New Roman Bold" w:hAnsi="Times New Roman Bold"/>
          <w:caps/>
          <w:color w:val="2586F6"/>
          <w:sz w:val="22"/>
          <w:u w:val="single"/>
        </w:rPr>
      </w:pPr>
      <w:r>
        <w:rPr>
          <w:rFonts w:ascii="Times New Roman Bold" w:hAnsi="Times New Roman Bold"/>
          <w:caps/>
          <w:color w:val="2586F6"/>
          <w:sz w:val="22"/>
          <w:u w:val="single"/>
        </w:rPr>
        <w:t>part ii:  project JustiFication</w:t>
      </w:r>
      <w:r>
        <w:rPr>
          <w:rStyle w:val="FootnoteReference1"/>
          <w:rFonts w:ascii="Times New Roman Bold" w:hAnsi="Times New Roman Bold"/>
          <w:caps/>
          <w:color w:val="2586F6"/>
          <w:sz w:val="22"/>
          <w:u w:val="single"/>
        </w:rPr>
        <w:footnoteReference w:id="4"/>
      </w:r>
    </w:p>
    <w:p w:rsidR="007B2875" w:rsidRDefault="00BF1DCA">
      <w:pPr>
        <w:pStyle w:val="ListParagraph"/>
        <w:numPr>
          <w:ilvl w:val="0"/>
          <w:numId w:val="4"/>
        </w:numPr>
        <w:tabs>
          <w:tab w:val="clear" w:pos="360"/>
          <w:tab w:val="num" w:pos="765"/>
        </w:tabs>
        <w:ind w:left="765" w:hanging="360"/>
      </w:pPr>
      <w:r>
        <w:t>Project Overview</w:t>
      </w:r>
    </w:p>
    <w:p w:rsidR="007B2875" w:rsidRDefault="00BF1DCA">
      <w:pPr>
        <w:pStyle w:val="ListParagraph"/>
        <w:numPr>
          <w:ilvl w:val="0"/>
          <w:numId w:val="4"/>
        </w:numPr>
        <w:tabs>
          <w:tab w:val="clear" w:pos="360"/>
          <w:tab w:val="num" w:pos="765"/>
        </w:tabs>
        <w:ind w:left="765" w:hanging="360"/>
      </w:pPr>
      <w:r>
        <w:t>A.1. Project Description. Briefly describe the project, including ; 1) the global environmental problems, root causes and barriers that need to be addressed; 2) the baseline scenario and any associated baseline projects, 3) the proposed alternative scenario, with a brief description of expected outcomes and components of the project, 4) incremental/additional cost reasoning and expected contributions from the baseline , the GEFTF, LDCF/SCCF and co-financing; 5) global environmental benefits (GEFTF, NPIF) and/or adaptation benefits (LDCF/SCCF); 6) innovativeness, sustainability and potential for scaling up</w:t>
      </w:r>
    </w:p>
    <w:p w:rsidR="007B2875" w:rsidRDefault="00BF1DCA">
      <w:pPr>
        <w:spacing w:after="80"/>
        <w:rPr>
          <w:rFonts w:ascii="Times New Roman Bold" w:hAnsi="Times New Roman Bold"/>
          <w:sz w:val="22"/>
          <w:lang w:val="en-GB"/>
        </w:rPr>
      </w:pPr>
      <w:r>
        <w:rPr>
          <w:rFonts w:ascii="Times New Roman Bold" w:hAnsi="Times New Roman Bold"/>
          <w:sz w:val="22"/>
          <w:lang w:val="en-GB"/>
        </w:rPr>
        <w:t>A. PROJECT OVERVIEW</w:t>
      </w:r>
    </w:p>
    <w:p w:rsidR="007B2875" w:rsidRDefault="00BF1DCA">
      <w:pPr>
        <w:spacing w:after="80"/>
        <w:rPr>
          <w:rFonts w:ascii="Times New Roman Bold" w:hAnsi="Times New Roman Bold"/>
          <w:sz w:val="22"/>
          <w:lang w:val="en-GB"/>
        </w:rPr>
      </w:pPr>
      <w:r>
        <w:rPr>
          <w:rFonts w:ascii="Times New Roman Bold" w:hAnsi="Times New Roman Bold"/>
          <w:sz w:val="22"/>
          <w:lang w:val="en-GB"/>
        </w:rPr>
        <w:t>A.1. PROJECT DESCRIPTION</w:t>
      </w:r>
    </w:p>
    <w:p w:rsidR="007B2875" w:rsidRDefault="00BF1DCA">
      <w:pPr>
        <w:spacing w:after="80"/>
        <w:rPr>
          <w:rFonts w:ascii="Times New Roman Bold" w:hAnsi="Times New Roman Bold"/>
          <w:sz w:val="22"/>
          <w:lang w:val="en-GB"/>
        </w:rPr>
      </w:pPr>
      <w:r>
        <w:rPr>
          <w:rFonts w:ascii="Times New Roman Bold" w:hAnsi="Times New Roman Bold"/>
          <w:sz w:val="22"/>
          <w:lang w:val="en-GB"/>
        </w:rPr>
        <w:t>A.1.1. GLOBAL ENVIRONMENTAL PROBLEMS, ROOT CAUSES AND BARRIERS THAT NEED TO BE ADDRESSED:</w:t>
      </w:r>
    </w:p>
    <w:p w:rsidR="007B2875" w:rsidRDefault="00BF1DCA">
      <w:pPr>
        <w:spacing w:after="80"/>
        <w:rPr>
          <w:rFonts w:ascii="Times New Roman Bold" w:hAnsi="Times New Roman Bold"/>
          <w:sz w:val="22"/>
          <w:lang w:val="en-GB"/>
        </w:rPr>
      </w:pPr>
      <w:r>
        <w:rPr>
          <w:rFonts w:ascii="Times New Roman Bold" w:hAnsi="Times New Roman Bold"/>
          <w:sz w:val="22"/>
          <w:lang w:val="en-GB"/>
        </w:rPr>
        <w:t xml:space="preserve">The Gran Chaco </w:t>
      </w:r>
      <w:proofErr w:type="spellStart"/>
      <w:r>
        <w:rPr>
          <w:rFonts w:ascii="Times New Roman Bold" w:hAnsi="Times New Roman Bold"/>
          <w:sz w:val="22"/>
          <w:lang w:val="en-GB"/>
        </w:rPr>
        <w:t>Ecoregion</w:t>
      </w:r>
      <w:proofErr w:type="spellEnd"/>
      <w:r>
        <w:rPr>
          <w:rFonts w:ascii="Times New Roman Bold" w:hAnsi="Times New Roman Bold"/>
          <w:sz w:val="22"/>
          <w:lang w:val="en-GB"/>
        </w:rPr>
        <w:t>:</w:t>
      </w:r>
    </w:p>
    <w:p w:rsidR="007B2875" w:rsidRDefault="00BF1DCA">
      <w:pPr>
        <w:spacing w:after="80"/>
        <w:rPr>
          <w:sz w:val="22"/>
          <w:lang w:val="en-GB"/>
        </w:rPr>
      </w:pPr>
      <w:r>
        <w:rPr>
          <w:sz w:val="22"/>
          <w:lang w:val="en-GB"/>
        </w:rPr>
        <w:t>A.1.1.1.</w:t>
      </w:r>
      <w:r>
        <w:rPr>
          <w:sz w:val="22"/>
          <w:lang w:val="en-GB"/>
        </w:rPr>
        <w:tab/>
        <w:t xml:space="preserve"> The Gran Chaco </w:t>
      </w:r>
      <w:proofErr w:type="spellStart"/>
      <w:r>
        <w:rPr>
          <w:sz w:val="22"/>
          <w:lang w:val="en-GB"/>
        </w:rPr>
        <w:t>Ecoregion</w:t>
      </w:r>
      <w:proofErr w:type="spellEnd"/>
      <w:r>
        <w:rPr>
          <w:sz w:val="22"/>
          <w:lang w:val="en-GB"/>
        </w:rPr>
        <w:t xml:space="preserve"> is one of the world’s 24 Wilderness Areas.  It is the most extensive dry forest complex in the Americas and the second largest forested area in South America after the Amazon. With 1,100,000 sq km, it covers parts of eastern Bolivia (19%) and northern Argentina (46%), all of western Paraguay (34%), and a small portion of Brazil (1%). Two sub-regions can be recognized within this </w:t>
      </w:r>
      <w:proofErr w:type="spellStart"/>
      <w:r>
        <w:rPr>
          <w:sz w:val="22"/>
          <w:lang w:val="en-GB"/>
        </w:rPr>
        <w:t>ecoregion</w:t>
      </w:r>
      <w:proofErr w:type="spellEnd"/>
      <w:r>
        <w:rPr>
          <w:sz w:val="22"/>
          <w:lang w:val="en-GB"/>
        </w:rPr>
        <w:t xml:space="preserve">: a) the Dry Chaco where the dominant vegetative structure is </w:t>
      </w:r>
      <w:proofErr w:type="spellStart"/>
      <w:r>
        <w:rPr>
          <w:sz w:val="22"/>
          <w:lang w:val="en-GB"/>
        </w:rPr>
        <w:t>xerophytic</w:t>
      </w:r>
      <w:proofErr w:type="spellEnd"/>
      <w:r>
        <w:rPr>
          <w:sz w:val="22"/>
          <w:lang w:val="en-GB"/>
        </w:rPr>
        <w:t xml:space="preserve"> deciduous forests with multiple layers including a canopy, sub-canopy, shrub layer and herbaceous layer; and b) the Humid Chaco which is composed of seasonally flooded plains covered by wetlands and palm tree savannas.</w:t>
      </w:r>
    </w:p>
    <w:p w:rsidR="007B2875" w:rsidRDefault="00BF1DCA">
      <w:pPr>
        <w:spacing w:after="80"/>
        <w:rPr>
          <w:sz w:val="22"/>
          <w:lang w:val="en-GB"/>
        </w:rPr>
      </w:pPr>
      <w:r>
        <w:rPr>
          <w:sz w:val="22"/>
          <w:lang w:val="en-GB"/>
        </w:rPr>
        <w:t>A.1.1.2.</w:t>
      </w:r>
      <w:r>
        <w:rPr>
          <w:sz w:val="22"/>
          <w:lang w:val="en-GB"/>
        </w:rPr>
        <w:tab/>
        <w:t xml:space="preserve"> In terms of biodiversity, the Gran Chaco is rich in species and endemism. More than 3,400 plant species have been described, of which 400 are endemic. The diversity of fauna is also high, with more than 500 bird, 150 mammal (12 endemic), 200 reptile and 100 amphibian species. Of particular interest is the diversity of armadillo (Order </w:t>
      </w:r>
      <w:proofErr w:type="spellStart"/>
      <w:r>
        <w:rPr>
          <w:sz w:val="22"/>
          <w:lang w:val="en-GB"/>
        </w:rPr>
        <w:t>Cingulata</w:t>
      </w:r>
      <w:proofErr w:type="spellEnd"/>
      <w:r>
        <w:rPr>
          <w:sz w:val="22"/>
          <w:lang w:val="en-GB"/>
        </w:rPr>
        <w:t xml:space="preserve">) with eight species, and an endemic </w:t>
      </w:r>
      <w:proofErr w:type="spellStart"/>
      <w:r>
        <w:rPr>
          <w:sz w:val="22"/>
          <w:lang w:val="en-GB"/>
        </w:rPr>
        <w:t>Chacoan</w:t>
      </w:r>
      <w:proofErr w:type="spellEnd"/>
      <w:r>
        <w:rPr>
          <w:sz w:val="22"/>
          <w:lang w:val="en-GB"/>
        </w:rPr>
        <w:t xml:space="preserve"> peccary (</w:t>
      </w:r>
      <w:proofErr w:type="spellStart"/>
      <w:r>
        <w:rPr>
          <w:sz w:val="22"/>
          <w:lang w:val="en-GB"/>
        </w:rPr>
        <w:t>Catagonus</w:t>
      </w:r>
      <w:proofErr w:type="spellEnd"/>
      <w:r>
        <w:rPr>
          <w:sz w:val="22"/>
          <w:lang w:val="en-GB"/>
        </w:rPr>
        <w:t xml:space="preserve"> </w:t>
      </w:r>
      <w:proofErr w:type="spellStart"/>
      <w:r>
        <w:rPr>
          <w:sz w:val="22"/>
          <w:lang w:val="en-GB"/>
        </w:rPr>
        <w:t>wagneri</w:t>
      </w:r>
      <w:proofErr w:type="spellEnd"/>
      <w:r>
        <w:rPr>
          <w:sz w:val="22"/>
          <w:lang w:val="en-GB"/>
        </w:rPr>
        <w:t xml:space="preserve">) that was only known from </w:t>
      </w:r>
      <w:proofErr w:type="spellStart"/>
      <w:r>
        <w:rPr>
          <w:sz w:val="22"/>
          <w:lang w:val="en-GB"/>
        </w:rPr>
        <w:t>subfossil</w:t>
      </w:r>
      <w:proofErr w:type="spellEnd"/>
      <w:r>
        <w:rPr>
          <w:sz w:val="22"/>
          <w:lang w:val="en-GB"/>
        </w:rPr>
        <w:t xml:space="preserve"> remains until it was rediscovered by science in the Paraguayan Chaco in 1974. The Gran Chaco is among the last places where healthy populations of large and threatened mammals can be found, including the tapir (</w:t>
      </w:r>
      <w:proofErr w:type="spellStart"/>
      <w:r>
        <w:rPr>
          <w:sz w:val="22"/>
          <w:lang w:val="en-GB"/>
        </w:rPr>
        <w:t>Tapirus</w:t>
      </w:r>
      <w:proofErr w:type="spellEnd"/>
      <w:r>
        <w:rPr>
          <w:sz w:val="22"/>
          <w:lang w:val="en-GB"/>
        </w:rPr>
        <w:t xml:space="preserve"> </w:t>
      </w:r>
      <w:proofErr w:type="spellStart"/>
      <w:r>
        <w:rPr>
          <w:sz w:val="22"/>
          <w:lang w:val="en-GB"/>
        </w:rPr>
        <w:t>terrestris</w:t>
      </w:r>
      <w:proofErr w:type="spellEnd"/>
      <w:r>
        <w:rPr>
          <w:sz w:val="22"/>
          <w:lang w:val="en-GB"/>
        </w:rPr>
        <w:t>), jaguar (</w:t>
      </w:r>
      <w:proofErr w:type="spellStart"/>
      <w:r>
        <w:rPr>
          <w:sz w:val="22"/>
          <w:lang w:val="en-GB"/>
        </w:rPr>
        <w:t>Panthera</w:t>
      </w:r>
      <w:proofErr w:type="spellEnd"/>
      <w:r>
        <w:rPr>
          <w:sz w:val="22"/>
          <w:lang w:val="en-GB"/>
        </w:rPr>
        <w:t xml:space="preserve"> </w:t>
      </w:r>
      <w:proofErr w:type="spellStart"/>
      <w:r>
        <w:rPr>
          <w:sz w:val="22"/>
          <w:lang w:val="en-GB"/>
        </w:rPr>
        <w:t>onca</w:t>
      </w:r>
      <w:proofErr w:type="spellEnd"/>
      <w:r>
        <w:rPr>
          <w:sz w:val="22"/>
          <w:lang w:val="en-GB"/>
        </w:rPr>
        <w:t xml:space="preserve">), </w:t>
      </w:r>
      <w:proofErr w:type="spellStart"/>
      <w:r>
        <w:rPr>
          <w:sz w:val="22"/>
          <w:lang w:val="en-GB"/>
        </w:rPr>
        <w:t>maned</w:t>
      </w:r>
      <w:proofErr w:type="spellEnd"/>
      <w:r>
        <w:rPr>
          <w:sz w:val="22"/>
          <w:lang w:val="en-GB"/>
        </w:rPr>
        <w:t xml:space="preserve"> wolf (</w:t>
      </w:r>
      <w:proofErr w:type="spellStart"/>
      <w:r>
        <w:rPr>
          <w:sz w:val="22"/>
          <w:lang w:val="en-GB"/>
        </w:rPr>
        <w:t>Chrysocyon</w:t>
      </w:r>
      <w:proofErr w:type="spellEnd"/>
      <w:r>
        <w:rPr>
          <w:sz w:val="22"/>
          <w:lang w:val="en-GB"/>
        </w:rPr>
        <w:t xml:space="preserve"> </w:t>
      </w:r>
      <w:proofErr w:type="spellStart"/>
      <w:r>
        <w:rPr>
          <w:sz w:val="22"/>
          <w:lang w:val="en-GB"/>
        </w:rPr>
        <w:t>brachyurus</w:t>
      </w:r>
      <w:proofErr w:type="spellEnd"/>
      <w:r>
        <w:rPr>
          <w:sz w:val="22"/>
          <w:lang w:val="en-GB"/>
        </w:rPr>
        <w:t>), giant armadillo (</w:t>
      </w:r>
      <w:proofErr w:type="spellStart"/>
      <w:r>
        <w:rPr>
          <w:sz w:val="22"/>
          <w:lang w:val="en-GB"/>
        </w:rPr>
        <w:t>Priodontes</w:t>
      </w:r>
      <w:proofErr w:type="spellEnd"/>
      <w:r>
        <w:rPr>
          <w:sz w:val="22"/>
          <w:lang w:val="en-GB"/>
        </w:rPr>
        <w:t xml:space="preserve"> </w:t>
      </w:r>
      <w:proofErr w:type="spellStart"/>
      <w:r>
        <w:rPr>
          <w:sz w:val="22"/>
          <w:lang w:val="en-GB"/>
        </w:rPr>
        <w:t>maximus</w:t>
      </w:r>
      <w:proofErr w:type="spellEnd"/>
      <w:r>
        <w:rPr>
          <w:sz w:val="22"/>
          <w:lang w:val="en-GB"/>
        </w:rPr>
        <w:t>), marsh deer (</w:t>
      </w:r>
      <w:proofErr w:type="spellStart"/>
      <w:r>
        <w:rPr>
          <w:sz w:val="22"/>
          <w:lang w:val="en-GB"/>
        </w:rPr>
        <w:t>Blastocerus</w:t>
      </w:r>
      <w:proofErr w:type="spellEnd"/>
      <w:r>
        <w:rPr>
          <w:sz w:val="22"/>
          <w:lang w:val="en-GB"/>
        </w:rPr>
        <w:t xml:space="preserve"> </w:t>
      </w:r>
      <w:proofErr w:type="spellStart"/>
      <w:r>
        <w:rPr>
          <w:sz w:val="22"/>
          <w:lang w:val="en-GB"/>
        </w:rPr>
        <w:t>dichotomus</w:t>
      </w:r>
      <w:proofErr w:type="spellEnd"/>
      <w:r>
        <w:rPr>
          <w:sz w:val="22"/>
          <w:lang w:val="en-GB"/>
        </w:rPr>
        <w:t xml:space="preserve">) and the only known migratory population of guanacos (Lama </w:t>
      </w:r>
      <w:proofErr w:type="spellStart"/>
      <w:proofErr w:type="gramStart"/>
      <w:r>
        <w:rPr>
          <w:sz w:val="22"/>
          <w:lang w:val="en-GB"/>
        </w:rPr>
        <w:t>guanicoe</w:t>
      </w:r>
      <w:proofErr w:type="spellEnd"/>
      <w:proofErr w:type="gramEnd"/>
      <w:r>
        <w:rPr>
          <w:sz w:val="22"/>
          <w:lang w:val="en-GB"/>
        </w:rPr>
        <w:t>). The Gran Chaco is also important for carbon sequestration and storage, as well as a source of freshwater for the region.</w:t>
      </w:r>
    </w:p>
    <w:p w:rsidR="007B2875" w:rsidRDefault="00BF1DCA">
      <w:pPr>
        <w:spacing w:after="80"/>
        <w:rPr>
          <w:sz w:val="22"/>
          <w:lang w:val="en-GB"/>
        </w:rPr>
      </w:pPr>
      <w:r>
        <w:rPr>
          <w:sz w:val="22"/>
          <w:lang w:val="en-GB"/>
        </w:rPr>
        <w:t>A.1.1.3.</w:t>
      </w:r>
      <w:r>
        <w:rPr>
          <w:sz w:val="22"/>
          <w:lang w:val="en-GB"/>
        </w:rPr>
        <w:tab/>
        <w:t xml:space="preserve"> The Gran Chaco is one of South America's last agricultural frontiers. Although there are large expanses of fertile soils, they are highly prone to erosion once the original vegetation cover has been cleared.  Areas with high deforestation pressure include globally important areas for biodiversity, such as </w:t>
      </w:r>
      <w:proofErr w:type="spellStart"/>
      <w:r>
        <w:rPr>
          <w:sz w:val="22"/>
          <w:lang w:val="en-GB"/>
        </w:rPr>
        <w:t>Birdlife’s</w:t>
      </w:r>
      <w:proofErr w:type="spellEnd"/>
      <w:r>
        <w:rPr>
          <w:sz w:val="22"/>
          <w:lang w:val="en-GB"/>
        </w:rPr>
        <w:t xml:space="preserve"> Important Bird Areas (IBAs) and areas with important levels of species richness and endemism of globally threatened amphibian, reptile, mammal, and bird species. Approximately 390 species, many included in the IUCN Red List, occur in the areas being subjected to deforestation. </w:t>
      </w:r>
    </w:p>
    <w:p w:rsidR="007B2875" w:rsidRDefault="007B2875">
      <w:pPr>
        <w:spacing w:after="80"/>
        <w:rPr>
          <w:sz w:val="22"/>
          <w:lang w:val="en-GB"/>
        </w:rPr>
      </w:pPr>
    </w:p>
    <w:p w:rsidR="007B2875" w:rsidRDefault="00BF1DCA">
      <w:pPr>
        <w:spacing w:after="80"/>
        <w:rPr>
          <w:rFonts w:ascii="Times New Roman Bold" w:hAnsi="Times New Roman Bold"/>
          <w:sz w:val="22"/>
          <w:lang w:val="en-GB"/>
        </w:rPr>
      </w:pPr>
      <w:r>
        <w:rPr>
          <w:rFonts w:ascii="Times New Roman Bold" w:hAnsi="Times New Roman Bold"/>
          <w:sz w:val="22"/>
          <w:lang w:val="en-GB"/>
        </w:rPr>
        <w:t>The Paraguayan Dry Chaco Forest Complex (DCFC)</w:t>
      </w:r>
    </w:p>
    <w:p w:rsidR="007B2875" w:rsidRDefault="00BF1DCA">
      <w:pPr>
        <w:spacing w:after="80"/>
        <w:rPr>
          <w:sz w:val="22"/>
          <w:lang w:val="en-GB"/>
        </w:rPr>
      </w:pPr>
      <w:r>
        <w:rPr>
          <w:sz w:val="22"/>
          <w:lang w:val="en-GB"/>
        </w:rPr>
        <w:lastRenderedPageBreak/>
        <w:t>A.1.1.4.</w:t>
      </w:r>
      <w:r>
        <w:rPr>
          <w:sz w:val="22"/>
          <w:lang w:val="en-GB"/>
        </w:rPr>
        <w:tab/>
        <w:t xml:space="preserve"> Paraguay has two main forest types: a) The Dry Chaco Forest Complex (DCFC) which is characterized by dense </w:t>
      </w:r>
      <w:proofErr w:type="spellStart"/>
      <w:r>
        <w:rPr>
          <w:sz w:val="22"/>
          <w:lang w:val="en-GB"/>
        </w:rPr>
        <w:t>xerophytic</w:t>
      </w:r>
      <w:proofErr w:type="spellEnd"/>
      <w:r>
        <w:rPr>
          <w:sz w:val="22"/>
          <w:lang w:val="en-GB"/>
        </w:rPr>
        <w:t xml:space="preserve"> deciduous forest interspersed with sparse open woodlands, tropical savannas, and scattered wetlands; and b) The Interior Atlantic Forest (IAF) which is mainly covered by humid subtropical semi-deciduous forest (Map 1).</w:t>
      </w:r>
    </w:p>
    <w:p w:rsidR="007B2875" w:rsidRDefault="007B2875">
      <w:pPr>
        <w:spacing w:after="80"/>
        <w:rPr>
          <w:sz w:val="22"/>
          <w:lang w:val="en-GB"/>
        </w:rPr>
      </w:pPr>
    </w:p>
    <w:tbl>
      <w:tblPr>
        <w:tblW w:w="0" w:type="auto"/>
        <w:jc w:val="center"/>
        <w:tblLayout w:type="fixed"/>
        <w:tblLook w:val="0000"/>
      </w:tblPr>
      <w:tblGrid>
        <w:gridCol w:w="6215"/>
      </w:tblGrid>
      <w:tr w:rsidR="007B2875">
        <w:trPr>
          <w:cantSplit/>
          <w:trHeight w:val="300"/>
          <w:jc w:val="center"/>
        </w:trPr>
        <w:tc>
          <w:tcPr>
            <w:tcW w:w="6215" w:type="dxa"/>
            <w:tcBorders>
              <w:top w:val="none" w:sz="8" w:space="0" w:color="000000"/>
              <w:left w:val="none" w:sz="8" w:space="0" w:color="000000"/>
              <w:bottom w:val="none" w:sz="8" w:space="0" w:color="000000"/>
              <w:right w:val="none" w:sz="8"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rFonts w:ascii="Times New Roman Bold" w:hAnsi="Times New Roman Bold"/>
                <w:sz w:val="20"/>
              </w:rPr>
              <w:t>Map 1</w:t>
            </w:r>
            <w:r>
              <w:rPr>
                <w:sz w:val="20"/>
              </w:rPr>
              <w:t>: Map 1: Forest Cover and Deforestation in Paraguay, 1990-2012</w:t>
            </w:r>
          </w:p>
        </w:tc>
      </w:tr>
      <w:tr w:rsidR="007B2875">
        <w:trPr>
          <w:cantSplit/>
          <w:trHeight w:val="7500"/>
          <w:jc w:val="center"/>
        </w:trPr>
        <w:tc>
          <w:tcPr>
            <w:tcW w:w="6215" w:type="dxa"/>
            <w:tcBorders>
              <w:top w:val="none" w:sz="8" w:space="0" w:color="000000"/>
              <w:left w:val="none" w:sz="8" w:space="0" w:color="000000"/>
              <w:bottom w:val="none" w:sz="8" w:space="0" w:color="000000"/>
              <w:right w:val="none" w:sz="8" w:space="0" w:color="000000"/>
            </w:tcBorders>
            <w:shd w:val="clear" w:color="auto" w:fill="auto"/>
            <w:tcMar>
              <w:top w:w="0" w:type="dxa"/>
              <w:left w:w="0" w:type="dxa"/>
              <w:bottom w:w="0" w:type="dxa"/>
              <w:right w:w="0" w:type="dxa"/>
            </w:tcMar>
          </w:tcPr>
          <w:p w:rsidR="007B2875" w:rsidRDefault="00BF1DCA">
            <w:pPr>
              <w:jc w:val="center"/>
            </w:pPr>
            <w:r>
              <w:rPr>
                <w:noProof/>
              </w:rPr>
              <w:drawing>
                <wp:inline distT="0" distB="0" distL="0" distR="0">
                  <wp:extent cx="3808730" cy="4773930"/>
                  <wp:effectExtent l="19050" t="0" r="127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t="13016" r="1910"/>
                          <a:stretch>
                            <a:fillRect/>
                          </a:stretch>
                        </pic:blipFill>
                        <pic:spPr bwMode="auto">
                          <a:xfrm>
                            <a:off x="0" y="0"/>
                            <a:ext cx="3808730" cy="4773930"/>
                          </a:xfrm>
                          <a:prstGeom prst="rect">
                            <a:avLst/>
                          </a:prstGeom>
                          <a:noFill/>
                          <a:ln w="9525" cap="flat">
                            <a:noFill/>
                            <a:round/>
                            <a:headEnd/>
                            <a:tailEnd/>
                          </a:ln>
                        </pic:spPr>
                      </pic:pic>
                    </a:graphicData>
                  </a:graphic>
                </wp:inline>
              </w:drawing>
            </w:r>
          </w:p>
        </w:tc>
      </w:tr>
    </w:tbl>
    <w:p w:rsidR="007B2875" w:rsidRDefault="007B2875">
      <w:pPr>
        <w:pStyle w:val="FreeForm"/>
        <w:jc w:val="center"/>
        <w:rPr>
          <w:sz w:val="22"/>
          <w:lang w:val="en-GB"/>
        </w:rPr>
      </w:pPr>
    </w:p>
    <w:p w:rsidR="007B2875" w:rsidRDefault="007B2875">
      <w:pPr>
        <w:pStyle w:val="FreeFormA"/>
        <w:jc w:val="center"/>
        <w:rPr>
          <w:sz w:val="22"/>
          <w:lang w:val="en-GB"/>
        </w:rPr>
      </w:pPr>
    </w:p>
    <w:p w:rsidR="007B2875" w:rsidRDefault="007B2875">
      <w:pPr>
        <w:spacing w:after="80"/>
        <w:rPr>
          <w:sz w:val="22"/>
          <w:lang w:val="en-GB"/>
        </w:rPr>
      </w:pPr>
    </w:p>
    <w:p w:rsidR="007B2875" w:rsidRDefault="00BF1DCA">
      <w:pPr>
        <w:spacing w:after="80"/>
        <w:rPr>
          <w:sz w:val="22"/>
          <w:lang w:val="en-GB"/>
        </w:rPr>
      </w:pPr>
      <w:r>
        <w:rPr>
          <w:sz w:val="22"/>
          <w:lang w:val="en-GB"/>
        </w:rPr>
        <w:t>A.1.1.5.</w:t>
      </w:r>
      <w:r>
        <w:rPr>
          <w:sz w:val="22"/>
          <w:lang w:val="en-GB"/>
        </w:rPr>
        <w:tab/>
        <w:t xml:space="preserve">The Paraguayan DCFC, located in the </w:t>
      </w:r>
      <w:proofErr w:type="spellStart"/>
      <w:r>
        <w:rPr>
          <w:sz w:val="22"/>
          <w:lang w:val="en-GB"/>
        </w:rPr>
        <w:t>northeastern</w:t>
      </w:r>
      <w:proofErr w:type="spellEnd"/>
      <w:r>
        <w:rPr>
          <w:sz w:val="22"/>
          <w:lang w:val="en-GB"/>
        </w:rPr>
        <w:t xml:space="preserve"> portion of the Gran Chaco, covers about 150,000 sq km of a relatively flat plain with a semiarid and </w:t>
      </w:r>
      <w:proofErr w:type="spellStart"/>
      <w:r>
        <w:rPr>
          <w:sz w:val="22"/>
          <w:lang w:val="en-GB"/>
        </w:rPr>
        <w:t>megathermal</w:t>
      </w:r>
      <w:proofErr w:type="spellEnd"/>
      <w:r>
        <w:rPr>
          <w:sz w:val="22"/>
          <w:lang w:val="en-GB"/>
        </w:rPr>
        <w:t xml:space="preserve"> climate and prolonged periods of water deficit. Although there is virtually no surface water, the region sits over important aquifers that are recharged at much higher elevations in the Andes Mountains. With few exceptions, only saline water is available for extraction from these aquifers throughout most of the region.</w:t>
      </w:r>
    </w:p>
    <w:p w:rsidR="007B2875" w:rsidRDefault="00BF1DCA">
      <w:pPr>
        <w:spacing w:after="80"/>
        <w:rPr>
          <w:sz w:val="22"/>
          <w:lang w:val="en-GB"/>
        </w:rPr>
      </w:pPr>
      <w:r>
        <w:rPr>
          <w:sz w:val="22"/>
          <w:lang w:val="en-GB"/>
        </w:rPr>
        <w:t>A.1.1.6.</w:t>
      </w:r>
      <w:r>
        <w:rPr>
          <w:sz w:val="22"/>
          <w:lang w:val="en-GB"/>
        </w:rPr>
        <w:tab/>
        <w:t xml:space="preserve">The Gran Chaco has been inhabited for centuries by different ethnic groups.  In the DCFC, the </w:t>
      </w:r>
      <w:proofErr w:type="spellStart"/>
      <w:r>
        <w:rPr>
          <w:sz w:val="22"/>
          <w:lang w:val="en-GB"/>
        </w:rPr>
        <w:t>Guraní</w:t>
      </w:r>
      <w:proofErr w:type="spellEnd"/>
      <w:r>
        <w:rPr>
          <w:sz w:val="22"/>
          <w:lang w:val="en-GB"/>
        </w:rPr>
        <w:t xml:space="preserve"> </w:t>
      </w:r>
      <w:proofErr w:type="spellStart"/>
      <w:r>
        <w:rPr>
          <w:sz w:val="22"/>
          <w:lang w:val="en-GB"/>
        </w:rPr>
        <w:t>Ñandéva</w:t>
      </w:r>
      <w:proofErr w:type="spellEnd"/>
      <w:r>
        <w:rPr>
          <w:sz w:val="22"/>
          <w:lang w:val="en-GB"/>
        </w:rPr>
        <w:t xml:space="preserve">, </w:t>
      </w:r>
      <w:proofErr w:type="spellStart"/>
      <w:r>
        <w:rPr>
          <w:sz w:val="22"/>
          <w:lang w:val="en-GB"/>
        </w:rPr>
        <w:t>Ishir</w:t>
      </w:r>
      <w:proofErr w:type="spellEnd"/>
      <w:r>
        <w:rPr>
          <w:sz w:val="22"/>
          <w:lang w:val="en-GB"/>
        </w:rPr>
        <w:t xml:space="preserve"> o </w:t>
      </w:r>
      <w:proofErr w:type="spellStart"/>
      <w:r>
        <w:rPr>
          <w:sz w:val="22"/>
          <w:lang w:val="en-GB"/>
        </w:rPr>
        <w:t>Chamacoco</w:t>
      </w:r>
      <w:proofErr w:type="spellEnd"/>
      <w:r>
        <w:rPr>
          <w:sz w:val="22"/>
          <w:lang w:val="en-GB"/>
        </w:rPr>
        <w:t xml:space="preserve">, and </w:t>
      </w:r>
      <w:proofErr w:type="spellStart"/>
      <w:r>
        <w:rPr>
          <w:sz w:val="22"/>
          <w:lang w:val="en-GB"/>
        </w:rPr>
        <w:t>Ayoreo</w:t>
      </w:r>
      <w:proofErr w:type="spellEnd"/>
      <w:r>
        <w:rPr>
          <w:sz w:val="22"/>
          <w:lang w:val="en-GB"/>
        </w:rPr>
        <w:t xml:space="preserve"> People are the main indigenous groups. Until recently, the vast wilderness and the relative isolation of the DCFC allowed indigenous peoples and </w:t>
      </w:r>
      <w:proofErr w:type="spellStart"/>
      <w:r>
        <w:rPr>
          <w:sz w:val="22"/>
          <w:lang w:val="en-GB"/>
        </w:rPr>
        <w:t>mestizo</w:t>
      </w:r>
      <w:proofErr w:type="spellEnd"/>
      <w:r>
        <w:rPr>
          <w:sz w:val="22"/>
          <w:lang w:val="en-GB"/>
        </w:rPr>
        <w:t xml:space="preserve"> farmers to obtain most of their basic goods and services from natural environments. The rapid agricultural expansion and colonization of the last two decades have forced most nomadic indigenous people to settle in poorly managed reservations and change their lifestyles from hunter-gatherers to farmers and seasonal workers. However, there is evidence of several indigenous groups living in voluntary isolation in the DCFC. </w:t>
      </w:r>
    </w:p>
    <w:p w:rsidR="007B2875" w:rsidRDefault="00BF1DCA">
      <w:pPr>
        <w:spacing w:after="80"/>
        <w:rPr>
          <w:sz w:val="22"/>
          <w:lang w:val="en-GB"/>
        </w:rPr>
      </w:pPr>
      <w:r>
        <w:rPr>
          <w:sz w:val="22"/>
          <w:lang w:val="en-GB"/>
        </w:rPr>
        <w:lastRenderedPageBreak/>
        <w:t>A.1.1.7.</w:t>
      </w:r>
      <w:r>
        <w:rPr>
          <w:sz w:val="22"/>
          <w:lang w:val="en-GB"/>
        </w:rPr>
        <w:tab/>
        <w:t>In recognition to the global natural and cultural importance of the DCFC, UNESCO’s Man and the Biosphere Program (M&amp;B) designated the northern part of the DCFC as a Biosphere Reserve. El Chaco Biosphere Reserve encompasses 7.5 million hectares (1.6 million ha of core area in formally established protected areas and 5.9 ha of buffer and transition areas mostly in private lands).</w:t>
      </w:r>
    </w:p>
    <w:p w:rsidR="007B2875" w:rsidRDefault="00BF1DCA">
      <w:pPr>
        <w:spacing w:after="80"/>
        <w:rPr>
          <w:sz w:val="22"/>
          <w:lang w:val="en-GB"/>
        </w:rPr>
      </w:pPr>
      <w:r>
        <w:rPr>
          <w:sz w:val="22"/>
          <w:lang w:val="en-GB"/>
        </w:rPr>
        <w:t>A.1.1.8.</w:t>
      </w:r>
      <w:r>
        <w:rPr>
          <w:sz w:val="22"/>
          <w:lang w:val="en-GB"/>
        </w:rPr>
        <w:tab/>
        <w:t>Mennonite communities, located in the southern part of the DCFC, were established by immigrants from Germany, Canada and Russia during the middle of the 20th Century. These economically and technologically prosperous communities have transformed nearly one million hectares of dry forest to agriculture. Today, the Mennonites of the Chaco are among the main producers of food for the entire country, as well as exporters of beef and other agricultural commodities.</w:t>
      </w:r>
    </w:p>
    <w:p w:rsidR="007B2875" w:rsidRDefault="00BF1DCA">
      <w:pPr>
        <w:spacing w:after="80"/>
        <w:rPr>
          <w:sz w:val="22"/>
          <w:lang w:val="en-GB"/>
        </w:rPr>
      </w:pPr>
      <w:r>
        <w:rPr>
          <w:sz w:val="22"/>
          <w:lang w:val="en-GB"/>
        </w:rPr>
        <w:t>A.1.1.9.</w:t>
      </w:r>
      <w:r>
        <w:rPr>
          <w:sz w:val="22"/>
          <w:lang w:val="en-GB"/>
        </w:rPr>
        <w:tab/>
        <w:t>Current large-scale ranches in the DCFC are primarily the result of significant foreign investment, both past and present. Landholdings average 30,000 to 50,000 ha in size and are primarily used for cattle ranching. However, the DCFC has recently become the focus of renewed foreign investment by businesses and individuals who see opportunities in the retail land market, or for the production of beef and to lesser extent agricultural crops.</w:t>
      </w:r>
    </w:p>
    <w:p w:rsidR="007B2875" w:rsidRDefault="007B2875">
      <w:pPr>
        <w:spacing w:after="80"/>
        <w:rPr>
          <w:sz w:val="22"/>
          <w:lang w:val="en-GB"/>
        </w:rPr>
      </w:pPr>
    </w:p>
    <w:p w:rsidR="007B2875" w:rsidRDefault="00BF1DCA">
      <w:pPr>
        <w:spacing w:after="80"/>
        <w:rPr>
          <w:rFonts w:ascii="Times New Roman Bold" w:hAnsi="Times New Roman Bold"/>
          <w:sz w:val="22"/>
          <w:lang w:val="en-GB"/>
        </w:rPr>
      </w:pPr>
      <w:r>
        <w:rPr>
          <w:rFonts w:ascii="Times New Roman Bold" w:hAnsi="Times New Roman Bold"/>
          <w:sz w:val="22"/>
          <w:lang w:val="en-GB"/>
        </w:rPr>
        <w:t>Environmental problems in the DCFC</w:t>
      </w:r>
    </w:p>
    <w:p w:rsidR="007B2875" w:rsidRDefault="00BF1DCA">
      <w:pPr>
        <w:spacing w:after="80"/>
        <w:rPr>
          <w:sz w:val="22"/>
          <w:lang w:val="en-GB"/>
        </w:rPr>
      </w:pPr>
      <w:r>
        <w:rPr>
          <w:sz w:val="22"/>
          <w:lang w:val="en-GB"/>
        </w:rPr>
        <w:t xml:space="preserve">A.1.1.10. Deforestation rates in Paraguay (Table 1): The IAF has been under deforestation pressure for much longer than the DCFC, mostly due to its pleasant climatic conditions, abundance of water, and fertile soils. Deforestation in the IAF peaked during the 1980s with average annual rates of around 250,000 hectares, </w:t>
      </w:r>
      <w:proofErr w:type="gramStart"/>
      <w:r>
        <w:rPr>
          <w:sz w:val="22"/>
          <w:lang w:val="en-GB"/>
        </w:rPr>
        <w:t>then</w:t>
      </w:r>
      <w:proofErr w:type="gramEnd"/>
      <w:r>
        <w:rPr>
          <w:sz w:val="22"/>
          <w:lang w:val="en-GB"/>
        </w:rPr>
        <w:t xml:space="preserve"> decreased gradually to 100,000 ha per year in the 1990s, and to 20,000 ha per year in the last decade. WWF-Paraguay has estimated that only about 1 million hectares (~7% of original extent) of the IAF remain in a highly fragmented and degraded landscape, of which 500,000 ha are within formally protected areas. Deforestation in the DCFC has increased substantially and rapidly in the last decade: Annual average deforestation rates increased dramatically from 60,000 ha in 2006, to 180,000 ha in 2008, and to 320,000 in 2009, then decreased to 265,000 ha in 2012 and 242,301 ha in 2013. Recent estimations by the SEAM show that roughly 14,000,000 ha of DCFC remain outside formally protected areas and thus vulnerable to continued deforestation.</w:t>
      </w:r>
    </w:p>
    <w:p w:rsidR="007B2875" w:rsidRDefault="007B2875">
      <w:pPr>
        <w:spacing w:after="80"/>
        <w:rPr>
          <w:sz w:val="22"/>
          <w:lang w:val="en-GB"/>
        </w:rPr>
      </w:pPr>
    </w:p>
    <w:tbl>
      <w:tblPr>
        <w:tblW w:w="0" w:type="auto"/>
        <w:jc w:val="center"/>
        <w:tblLayout w:type="fixed"/>
        <w:tblLook w:val="0000"/>
      </w:tblPr>
      <w:tblGrid>
        <w:gridCol w:w="716"/>
        <w:gridCol w:w="1475"/>
        <w:gridCol w:w="1710"/>
      </w:tblGrid>
      <w:tr w:rsidR="007B2875">
        <w:trPr>
          <w:cantSplit/>
          <w:trHeight w:val="280"/>
          <w:jc w:val="center"/>
        </w:trPr>
        <w:tc>
          <w:tcPr>
            <w:tcW w:w="3901" w:type="dxa"/>
            <w:gridSpan w:val="3"/>
            <w:tcBorders>
              <w:top w:val="none" w:sz="8" w:space="0" w:color="000000"/>
              <w:left w:val="none" w:sz="8" w:space="0" w:color="000000"/>
              <w:bottom w:val="single" w:sz="4" w:space="0" w:color="000000"/>
              <w:right w:val="none" w:sz="8"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rFonts w:ascii="Times New Roman Bold" w:hAnsi="Times New Roman Bold"/>
                <w:sz w:val="20"/>
              </w:rPr>
              <w:t>Table 1</w:t>
            </w:r>
            <w:r>
              <w:rPr>
                <w:sz w:val="20"/>
              </w:rPr>
              <w:t>: Deforestation rates per forest type</w:t>
            </w:r>
          </w:p>
        </w:tc>
      </w:tr>
      <w:tr w:rsidR="007B2875">
        <w:trPr>
          <w:cantSplit/>
          <w:trHeight w:val="660"/>
          <w:jc w:val="center"/>
        </w:trPr>
        <w:tc>
          <w:tcPr>
            <w:tcW w:w="716" w:type="dxa"/>
            <w:tcBorders>
              <w:top w:val="single" w:sz="4" w:space="0" w:color="000000"/>
              <w:left w:val="single" w:sz="4" w:space="0" w:color="000000"/>
              <w:bottom w:val="single" w:sz="4" w:space="0" w:color="000000"/>
              <w:right w:val="single" w:sz="4" w:space="0" w:color="000000"/>
            </w:tcBorders>
            <w:shd w:val="clear" w:color="auto" w:fill="D9D9D9"/>
            <w:tcMar>
              <w:top w:w="0" w:type="dxa"/>
              <w:left w:w="0" w:type="dxa"/>
              <w:bottom w:w="0" w:type="dxa"/>
              <w:right w:w="0" w:type="dxa"/>
            </w:tcMar>
            <w:vAlign w:val="center"/>
          </w:tcPr>
          <w:p w:rsidR="007B2875" w:rsidRDefault="00BF1DCA">
            <w:pPr>
              <w:jc w:val="center"/>
              <w:rPr>
                <w:rFonts w:ascii="Times New Roman Bold" w:hAnsi="Times New Roman Bold"/>
                <w:sz w:val="20"/>
              </w:rPr>
            </w:pPr>
            <w:r>
              <w:rPr>
                <w:rFonts w:ascii="Times New Roman Bold" w:hAnsi="Times New Roman Bold"/>
                <w:sz w:val="20"/>
              </w:rPr>
              <w:t>Years</w:t>
            </w:r>
          </w:p>
        </w:tc>
        <w:tc>
          <w:tcPr>
            <w:tcW w:w="1475" w:type="dxa"/>
            <w:tcBorders>
              <w:top w:val="single" w:sz="4" w:space="0" w:color="000000"/>
              <w:left w:val="single" w:sz="4" w:space="0" w:color="000000"/>
              <w:bottom w:val="single" w:sz="4" w:space="0" w:color="000000"/>
              <w:right w:val="single" w:sz="4" w:space="0" w:color="000000"/>
            </w:tcBorders>
            <w:shd w:val="clear" w:color="auto" w:fill="D6E3BC"/>
            <w:tcMar>
              <w:top w:w="0" w:type="dxa"/>
              <w:left w:w="0" w:type="dxa"/>
              <w:bottom w:w="0" w:type="dxa"/>
              <w:right w:w="0" w:type="dxa"/>
            </w:tcMar>
            <w:vAlign w:val="center"/>
          </w:tcPr>
          <w:p w:rsidR="007B2875" w:rsidRDefault="00BF1DCA">
            <w:pPr>
              <w:jc w:val="center"/>
              <w:rPr>
                <w:rFonts w:ascii="Times New Roman Bold" w:hAnsi="Times New Roman Bold"/>
                <w:sz w:val="20"/>
              </w:rPr>
            </w:pPr>
            <w:r>
              <w:rPr>
                <w:rFonts w:ascii="Times New Roman Bold" w:hAnsi="Times New Roman Bold"/>
                <w:sz w:val="20"/>
              </w:rPr>
              <w:t>Deforestation in the IAF (hectares)</w:t>
            </w:r>
          </w:p>
        </w:tc>
        <w:tc>
          <w:tcPr>
            <w:tcW w:w="1710" w:type="dxa"/>
            <w:tcBorders>
              <w:top w:val="single" w:sz="4" w:space="0" w:color="000000"/>
              <w:left w:val="single" w:sz="4" w:space="0" w:color="000000"/>
              <w:bottom w:val="single" w:sz="4" w:space="0" w:color="000000"/>
              <w:right w:val="single" w:sz="4" w:space="0" w:color="000000"/>
            </w:tcBorders>
            <w:shd w:val="clear" w:color="auto" w:fill="DDD9C3"/>
            <w:tcMar>
              <w:top w:w="0" w:type="dxa"/>
              <w:left w:w="0" w:type="dxa"/>
              <w:bottom w:w="0" w:type="dxa"/>
              <w:right w:w="0" w:type="dxa"/>
            </w:tcMar>
            <w:vAlign w:val="center"/>
          </w:tcPr>
          <w:p w:rsidR="007B2875" w:rsidRDefault="00BF1DCA">
            <w:pPr>
              <w:jc w:val="center"/>
              <w:rPr>
                <w:rFonts w:ascii="Times New Roman Bold" w:hAnsi="Times New Roman Bold"/>
                <w:sz w:val="20"/>
              </w:rPr>
            </w:pPr>
            <w:r>
              <w:rPr>
                <w:rFonts w:ascii="Times New Roman Bold" w:hAnsi="Times New Roman Bold"/>
                <w:sz w:val="20"/>
              </w:rPr>
              <w:t>Deforestation in the DCFC (hectares)</w:t>
            </w:r>
          </w:p>
        </w:tc>
      </w:tr>
      <w:tr w:rsidR="007B2875">
        <w:trPr>
          <w:cantSplit/>
          <w:trHeight w:val="290"/>
          <w:jc w:val="center"/>
        </w:trPr>
        <w:tc>
          <w:tcPr>
            <w:tcW w:w="71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center"/>
              <w:rPr>
                <w:sz w:val="20"/>
              </w:rPr>
            </w:pPr>
            <w:r>
              <w:rPr>
                <w:sz w:val="20"/>
              </w:rPr>
              <w:t>1960</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right"/>
              <w:rPr>
                <w:sz w:val="20"/>
              </w:rPr>
            </w:pPr>
            <w:r>
              <w:rPr>
                <w:sz w:val="20"/>
              </w:rPr>
              <w:t xml:space="preserve">123,000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ind w:right="124"/>
              <w:jc w:val="right"/>
              <w:rPr>
                <w:sz w:val="20"/>
              </w:rPr>
            </w:pPr>
            <w:r>
              <w:rPr>
                <w:sz w:val="20"/>
              </w:rPr>
              <w:t>N/A</w:t>
            </w:r>
          </w:p>
        </w:tc>
      </w:tr>
      <w:tr w:rsidR="007B2875">
        <w:trPr>
          <w:cantSplit/>
          <w:trHeight w:val="290"/>
          <w:jc w:val="center"/>
        </w:trPr>
        <w:tc>
          <w:tcPr>
            <w:tcW w:w="71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center"/>
              <w:rPr>
                <w:sz w:val="20"/>
              </w:rPr>
            </w:pPr>
            <w:r>
              <w:rPr>
                <w:sz w:val="20"/>
              </w:rPr>
              <w:t>1970</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right"/>
              <w:rPr>
                <w:sz w:val="20"/>
              </w:rPr>
            </w:pPr>
            <w:r>
              <w:rPr>
                <w:sz w:val="20"/>
              </w:rPr>
              <w:t xml:space="preserve">212,000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ind w:right="124"/>
              <w:jc w:val="right"/>
              <w:rPr>
                <w:sz w:val="20"/>
              </w:rPr>
            </w:pPr>
            <w:r>
              <w:rPr>
                <w:sz w:val="20"/>
              </w:rPr>
              <w:t>N/A</w:t>
            </w:r>
          </w:p>
        </w:tc>
      </w:tr>
      <w:tr w:rsidR="007B2875">
        <w:trPr>
          <w:cantSplit/>
          <w:trHeight w:val="290"/>
          <w:jc w:val="center"/>
        </w:trPr>
        <w:tc>
          <w:tcPr>
            <w:tcW w:w="71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center"/>
              <w:rPr>
                <w:sz w:val="20"/>
              </w:rPr>
            </w:pPr>
            <w:r>
              <w:rPr>
                <w:sz w:val="20"/>
              </w:rPr>
              <w:t>1986</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right"/>
              <w:rPr>
                <w:sz w:val="20"/>
              </w:rPr>
            </w:pPr>
            <w:r>
              <w:rPr>
                <w:sz w:val="20"/>
              </w:rPr>
              <w:t xml:space="preserve">289,000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ind w:right="124"/>
              <w:jc w:val="right"/>
              <w:rPr>
                <w:sz w:val="20"/>
              </w:rPr>
            </w:pPr>
            <w:r>
              <w:rPr>
                <w:sz w:val="20"/>
              </w:rPr>
              <w:t>N/A</w:t>
            </w:r>
          </w:p>
        </w:tc>
      </w:tr>
      <w:tr w:rsidR="007B2875">
        <w:trPr>
          <w:cantSplit/>
          <w:trHeight w:val="290"/>
          <w:jc w:val="center"/>
        </w:trPr>
        <w:tc>
          <w:tcPr>
            <w:tcW w:w="71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center"/>
              <w:rPr>
                <w:sz w:val="20"/>
              </w:rPr>
            </w:pPr>
            <w:r>
              <w:rPr>
                <w:sz w:val="20"/>
              </w:rPr>
              <w:t>1995</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right"/>
              <w:rPr>
                <w:sz w:val="20"/>
              </w:rPr>
            </w:pPr>
            <w:r>
              <w:rPr>
                <w:sz w:val="20"/>
              </w:rPr>
              <w:t xml:space="preserve">113,000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ind w:right="124"/>
              <w:jc w:val="right"/>
              <w:rPr>
                <w:sz w:val="20"/>
              </w:rPr>
            </w:pPr>
            <w:r>
              <w:rPr>
                <w:sz w:val="20"/>
              </w:rPr>
              <w:t>N/A</w:t>
            </w:r>
          </w:p>
        </w:tc>
      </w:tr>
      <w:tr w:rsidR="007B2875">
        <w:trPr>
          <w:cantSplit/>
          <w:trHeight w:val="290"/>
          <w:jc w:val="center"/>
        </w:trPr>
        <w:tc>
          <w:tcPr>
            <w:tcW w:w="71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center"/>
              <w:rPr>
                <w:sz w:val="20"/>
              </w:rPr>
            </w:pPr>
            <w:r>
              <w:rPr>
                <w:sz w:val="20"/>
              </w:rPr>
              <w:t>1997</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right"/>
              <w:rPr>
                <w:sz w:val="20"/>
              </w:rPr>
            </w:pPr>
            <w:r>
              <w:rPr>
                <w:sz w:val="20"/>
              </w:rPr>
              <w:t xml:space="preserve">85,000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ind w:right="124"/>
              <w:jc w:val="right"/>
              <w:rPr>
                <w:sz w:val="20"/>
              </w:rPr>
            </w:pPr>
            <w:r>
              <w:rPr>
                <w:sz w:val="20"/>
              </w:rPr>
              <w:t>N/A</w:t>
            </w:r>
          </w:p>
        </w:tc>
      </w:tr>
      <w:tr w:rsidR="007B2875">
        <w:trPr>
          <w:cantSplit/>
          <w:trHeight w:val="290"/>
          <w:jc w:val="center"/>
        </w:trPr>
        <w:tc>
          <w:tcPr>
            <w:tcW w:w="71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center"/>
              <w:rPr>
                <w:sz w:val="20"/>
              </w:rPr>
            </w:pPr>
            <w:r>
              <w:rPr>
                <w:sz w:val="20"/>
              </w:rPr>
              <w:t>2002</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right"/>
              <w:rPr>
                <w:sz w:val="20"/>
              </w:rPr>
            </w:pPr>
            <w:r>
              <w:rPr>
                <w:sz w:val="20"/>
              </w:rPr>
              <w:t xml:space="preserve">110,000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ind w:right="124"/>
              <w:jc w:val="right"/>
              <w:rPr>
                <w:sz w:val="20"/>
              </w:rPr>
            </w:pPr>
            <w:r>
              <w:rPr>
                <w:sz w:val="20"/>
              </w:rPr>
              <w:t>N/A</w:t>
            </w:r>
          </w:p>
        </w:tc>
      </w:tr>
      <w:tr w:rsidR="007B2875">
        <w:trPr>
          <w:cantSplit/>
          <w:trHeight w:val="290"/>
          <w:jc w:val="center"/>
        </w:trPr>
        <w:tc>
          <w:tcPr>
            <w:tcW w:w="71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center"/>
              <w:rPr>
                <w:sz w:val="20"/>
              </w:rPr>
            </w:pPr>
            <w:r>
              <w:rPr>
                <w:sz w:val="20"/>
              </w:rPr>
              <w:t>2005</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right"/>
              <w:rPr>
                <w:sz w:val="20"/>
              </w:rPr>
            </w:pPr>
            <w:r>
              <w:rPr>
                <w:sz w:val="20"/>
              </w:rPr>
              <w:t xml:space="preserve">20,000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ind w:right="124"/>
              <w:jc w:val="right"/>
              <w:rPr>
                <w:sz w:val="20"/>
              </w:rPr>
            </w:pPr>
            <w:r>
              <w:rPr>
                <w:sz w:val="20"/>
              </w:rPr>
              <w:t>55,000</w:t>
            </w:r>
          </w:p>
        </w:tc>
      </w:tr>
      <w:tr w:rsidR="007B2875">
        <w:trPr>
          <w:cantSplit/>
          <w:trHeight w:val="290"/>
          <w:jc w:val="center"/>
        </w:trPr>
        <w:tc>
          <w:tcPr>
            <w:tcW w:w="71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center"/>
              <w:rPr>
                <w:sz w:val="20"/>
              </w:rPr>
            </w:pPr>
            <w:r>
              <w:rPr>
                <w:sz w:val="20"/>
              </w:rPr>
              <w:t>2006</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right"/>
              <w:rPr>
                <w:sz w:val="20"/>
              </w:rPr>
            </w:pPr>
            <w:r>
              <w:rPr>
                <w:sz w:val="20"/>
              </w:rPr>
              <w:t xml:space="preserve">6,400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ind w:right="124"/>
              <w:jc w:val="right"/>
              <w:rPr>
                <w:sz w:val="20"/>
              </w:rPr>
            </w:pPr>
            <w:r>
              <w:rPr>
                <w:sz w:val="20"/>
              </w:rPr>
              <w:t>60,000</w:t>
            </w:r>
          </w:p>
        </w:tc>
      </w:tr>
      <w:tr w:rsidR="007B2875">
        <w:trPr>
          <w:cantSplit/>
          <w:trHeight w:val="290"/>
          <w:jc w:val="center"/>
        </w:trPr>
        <w:tc>
          <w:tcPr>
            <w:tcW w:w="71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center"/>
              <w:rPr>
                <w:sz w:val="20"/>
              </w:rPr>
            </w:pPr>
            <w:r>
              <w:rPr>
                <w:sz w:val="20"/>
              </w:rPr>
              <w:t>2007</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right"/>
              <w:rPr>
                <w:sz w:val="20"/>
              </w:rPr>
            </w:pPr>
            <w:r>
              <w:rPr>
                <w:sz w:val="20"/>
              </w:rPr>
              <w:t xml:space="preserve">5,600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ind w:right="124"/>
              <w:jc w:val="right"/>
              <w:rPr>
                <w:sz w:val="20"/>
              </w:rPr>
            </w:pPr>
            <w:r>
              <w:rPr>
                <w:sz w:val="20"/>
              </w:rPr>
              <w:t>120,000</w:t>
            </w:r>
          </w:p>
        </w:tc>
      </w:tr>
      <w:tr w:rsidR="007B2875">
        <w:trPr>
          <w:cantSplit/>
          <w:trHeight w:val="290"/>
          <w:jc w:val="center"/>
        </w:trPr>
        <w:tc>
          <w:tcPr>
            <w:tcW w:w="71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center"/>
              <w:rPr>
                <w:sz w:val="20"/>
              </w:rPr>
            </w:pPr>
            <w:r>
              <w:rPr>
                <w:sz w:val="20"/>
              </w:rPr>
              <w:t>2008</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right"/>
              <w:rPr>
                <w:sz w:val="20"/>
              </w:rPr>
            </w:pPr>
            <w:r>
              <w:rPr>
                <w:sz w:val="20"/>
              </w:rPr>
              <w:t xml:space="preserve">9,503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ind w:right="124"/>
              <w:jc w:val="right"/>
              <w:rPr>
                <w:sz w:val="20"/>
              </w:rPr>
            </w:pPr>
            <w:r>
              <w:rPr>
                <w:sz w:val="20"/>
              </w:rPr>
              <w:t>180,000</w:t>
            </w:r>
          </w:p>
        </w:tc>
      </w:tr>
      <w:tr w:rsidR="007B2875">
        <w:trPr>
          <w:cantSplit/>
          <w:trHeight w:val="290"/>
          <w:jc w:val="center"/>
        </w:trPr>
        <w:tc>
          <w:tcPr>
            <w:tcW w:w="71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center"/>
              <w:rPr>
                <w:sz w:val="20"/>
              </w:rPr>
            </w:pPr>
            <w:r>
              <w:rPr>
                <w:sz w:val="20"/>
              </w:rPr>
              <w:t>2009</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right"/>
              <w:rPr>
                <w:sz w:val="20"/>
              </w:rPr>
            </w:pPr>
            <w:r>
              <w:rPr>
                <w:sz w:val="20"/>
              </w:rPr>
              <w:t xml:space="preserve">10,876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ind w:right="124"/>
              <w:jc w:val="right"/>
              <w:rPr>
                <w:sz w:val="20"/>
              </w:rPr>
            </w:pPr>
            <w:r>
              <w:rPr>
                <w:sz w:val="20"/>
              </w:rPr>
              <w:t>320,000</w:t>
            </w:r>
          </w:p>
        </w:tc>
      </w:tr>
      <w:tr w:rsidR="007B2875">
        <w:trPr>
          <w:cantSplit/>
          <w:trHeight w:val="290"/>
          <w:jc w:val="center"/>
        </w:trPr>
        <w:tc>
          <w:tcPr>
            <w:tcW w:w="71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center"/>
              <w:rPr>
                <w:sz w:val="20"/>
              </w:rPr>
            </w:pPr>
            <w:r>
              <w:rPr>
                <w:sz w:val="20"/>
              </w:rPr>
              <w:t>2010</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right"/>
              <w:rPr>
                <w:sz w:val="20"/>
              </w:rPr>
            </w:pPr>
            <w:r>
              <w:rPr>
                <w:sz w:val="20"/>
              </w:rPr>
              <w:t xml:space="preserve">6,230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ind w:right="124"/>
              <w:jc w:val="right"/>
              <w:rPr>
                <w:sz w:val="20"/>
              </w:rPr>
            </w:pPr>
            <w:r>
              <w:rPr>
                <w:sz w:val="20"/>
              </w:rPr>
              <w:t>240,000</w:t>
            </w:r>
          </w:p>
        </w:tc>
      </w:tr>
      <w:tr w:rsidR="007B2875">
        <w:trPr>
          <w:cantSplit/>
          <w:trHeight w:val="290"/>
          <w:jc w:val="center"/>
        </w:trPr>
        <w:tc>
          <w:tcPr>
            <w:tcW w:w="71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center"/>
              <w:rPr>
                <w:sz w:val="20"/>
              </w:rPr>
            </w:pPr>
            <w:r>
              <w:rPr>
                <w:sz w:val="20"/>
              </w:rPr>
              <w:t>2011</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right"/>
              <w:rPr>
                <w:sz w:val="20"/>
              </w:rPr>
            </w:pPr>
            <w:r>
              <w:rPr>
                <w:sz w:val="20"/>
              </w:rPr>
              <w:t xml:space="preserve">12,017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ind w:right="124"/>
              <w:jc w:val="right"/>
              <w:rPr>
                <w:sz w:val="20"/>
              </w:rPr>
            </w:pPr>
            <w:r>
              <w:rPr>
                <w:sz w:val="20"/>
              </w:rPr>
              <w:t>268,084</w:t>
            </w:r>
          </w:p>
        </w:tc>
      </w:tr>
      <w:tr w:rsidR="007B2875">
        <w:trPr>
          <w:cantSplit/>
          <w:trHeight w:val="290"/>
          <w:jc w:val="center"/>
        </w:trPr>
        <w:tc>
          <w:tcPr>
            <w:tcW w:w="71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center"/>
              <w:rPr>
                <w:sz w:val="20"/>
              </w:rPr>
            </w:pPr>
            <w:r>
              <w:rPr>
                <w:sz w:val="20"/>
              </w:rPr>
              <w:t>2012</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right"/>
              <w:rPr>
                <w:sz w:val="20"/>
              </w:rPr>
            </w:pPr>
            <w:r>
              <w:rPr>
                <w:sz w:val="20"/>
              </w:rPr>
              <w:t xml:space="preserve">14,509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ind w:right="124"/>
              <w:jc w:val="right"/>
              <w:rPr>
                <w:sz w:val="20"/>
              </w:rPr>
            </w:pPr>
            <w:r>
              <w:rPr>
                <w:sz w:val="20"/>
              </w:rPr>
              <w:t>265,000</w:t>
            </w:r>
          </w:p>
        </w:tc>
      </w:tr>
      <w:tr w:rsidR="007B2875">
        <w:trPr>
          <w:cantSplit/>
          <w:trHeight w:val="300"/>
          <w:jc w:val="center"/>
        </w:trPr>
        <w:tc>
          <w:tcPr>
            <w:tcW w:w="71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center"/>
              <w:rPr>
                <w:sz w:val="20"/>
              </w:rPr>
            </w:pPr>
            <w:r>
              <w:rPr>
                <w:sz w:val="20"/>
              </w:rPr>
              <w:t>2013</w:t>
            </w:r>
          </w:p>
        </w:tc>
        <w:tc>
          <w:tcPr>
            <w:tcW w:w="147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jc w:val="right"/>
              <w:rPr>
                <w:sz w:val="20"/>
              </w:rPr>
            </w:pPr>
            <w:r>
              <w:rPr>
                <w:sz w:val="20"/>
              </w:rPr>
              <w:t xml:space="preserve">17,000 </w:t>
            </w:r>
          </w:p>
        </w:tc>
        <w:tc>
          <w:tcPr>
            <w:tcW w:w="171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bottom"/>
          </w:tcPr>
          <w:p w:rsidR="007B2875" w:rsidRDefault="00BF1DCA">
            <w:pPr>
              <w:ind w:right="124"/>
              <w:jc w:val="right"/>
              <w:rPr>
                <w:sz w:val="20"/>
              </w:rPr>
            </w:pPr>
            <w:r>
              <w:rPr>
                <w:sz w:val="20"/>
              </w:rPr>
              <w:t>242,301</w:t>
            </w:r>
          </w:p>
        </w:tc>
      </w:tr>
      <w:tr w:rsidR="007B2875">
        <w:trPr>
          <w:cantSplit/>
          <w:trHeight w:val="300"/>
          <w:jc w:val="center"/>
        </w:trPr>
        <w:tc>
          <w:tcPr>
            <w:tcW w:w="3901" w:type="dxa"/>
            <w:gridSpan w:val="3"/>
            <w:tcBorders>
              <w:top w:val="single" w:sz="4" w:space="0" w:color="000000"/>
              <w:left w:val="none" w:sz="8" w:space="0" w:color="000000"/>
              <w:bottom w:val="none" w:sz="8" w:space="0" w:color="000000"/>
              <w:right w:val="none" w:sz="8" w:space="0" w:color="000000"/>
            </w:tcBorders>
            <w:shd w:val="clear" w:color="auto" w:fill="auto"/>
            <w:tcMar>
              <w:top w:w="0" w:type="dxa"/>
              <w:left w:w="0" w:type="dxa"/>
              <w:bottom w:w="0" w:type="dxa"/>
              <w:right w:w="0" w:type="dxa"/>
            </w:tcMar>
            <w:vAlign w:val="bottom"/>
          </w:tcPr>
          <w:p w:rsidR="007B2875" w:rsidRDefault="00BF1DCA">
            <w:pPr>
              <w:ind w:right="124"/>
              <w:rPr>
                <w:sz w:val="16"/>
              </w:rPr>
            </w:pPr>
            <w:proofErr w:type="spellStart"/>
            <w:r>
              <w:rPr>
                <w:sz w:val="16"/>
              </w:rPr>
              <w:t>Souces</w:t>
            </w:r>
            <w:proofErr w:type="spellEnd"/>
            <w:r>
              <w:rPr>
                <w:sz w:val="16"/>
              </w:rPr>
              <w:t xml:space="preserve">: WWF-Paraguay and </w:t>
            </w:r>
            <w:proofErr w:type="spellStart"/>
            <w:r>
              <w:rPr>
                <w:sz w:val="16"/>
              </w:rPr>
              <w:t>Guyra</w:t>
            </w:r>
            <w:proofErr w:type="spellEnd"/>
            <w:r>
              <w:rPr>
                <w:sz w:val="16"/>
              </w:rPr>
              <w:t xml:space="preserve"> Paraguay</w:t>
            </w:r>
          </w:p>
        </w:tc>
      </w:tr>
    </w:tbl>
    <w:p w:rsidR="007B2875" w:rsidRDefault="007B2875">
      <w:pPr>
        <w:pStyle w:val="FreeForm"/>
        <w:jc w:val="center"/>
        <w:rPr>
          <w:sz w:val="22"/>
          <w:lang w:val="en-GB"/>
        </w:rPr>
      </w:pPr>
    </w:p>
    <w:p w:rsidR="007B2875" w:rsidRDefault="007B2875">
      <w:pPr>
        <w:pStyle w:val="FreeFormA"/>
        <w:jc w:val="center"/>
        <w:rPr>
          <w:sz w:val="22"/>
          <w:lang w:val="en-GB"/>
        </w:rPr>
      </w:pPr>
    </w:p>
    <w:p w:rsidR="007B2875" w:rsidRDefault="007B2875">
      <w:pPr>
        <w:spacing w:after="80"/>
        <w:rPr>
          <w:sz w:val="22"/>
        </w:rPr>
      </w:pPr>
    </w:p>
    <w:p w:rsidR="007B2875" w:rsidRDefault="007B2875">
      <w:pPr>
        <w:spacing w:after="80"/>
        <w:rPr>
          <w:sz w:val="22"/>
        </w:rPr>
      </w:pPr>
    </w:p>
    <w:p w:rsidR="007B2875" w:rsidRDefault="00BF1DCA">
      <w:pPr>
        <w:spacing w:after="80"/>
        <w:rPr>
          <w:sz w:val="22"/>
        </w:rPr>
      </w:pPr>
      <w:r>
        <w:rPr>
          <w:sz w:val="22"/>
        </w:rPr>
        <w:t xml:space="preserve">A.1.1.11. It has been estimated that since 2004, deforestation in the Gran Chaco has resulted in an annual loss of 65 million </w:t>
      </w:r>
      <w:proofErr w:type="spellStart"/>
      <w:r>
        <w:rPr>
          <w:sz w:val="22"/>
        </w:rPr>
        <w:t>tonnes</w:t>
      </w:r>
      <w:proofErr w:type="spellEnd"/>
      <w:r>
        <w:rPr>
          <w:sz w:val="22"/>
        </w:rPr>
        <w:t xml:space="preserve"> of carbon stock and 338,000 </w:t>
      </w:r>
      <w:proofErr w:type="spellStart"/>
      <w:r>
        <w:rPr>
          <w:sz w:val="22"/>
        </w:rPr>
        <w:t>tonnes</w:t>
      </w:r>
      <w:proofErr w:type="spellEnd"/>
      <w:r>
        <w:rPr>
          <w:sz w:val="22"/>
        </w:rPr>
        <w:t xml:space="preserve"> of carbon sequestration. Specific information on carbon stocks comes from fieldwork in different ecosystems of the Paraguayan DCFC, including in the Zech-</w:t>
      </w:r>
      <w:proofErr w:type="spellStart"/>
      <w:r>
        <w:rPr>
          <w:sz w:val="22"/>
        </w:rPr>
        <w:t>Legua</w:t>
      </w:r>
      <w:proofErr w:type="spellEnd"/>
      <w:r>
        <w:rPr>
          <w:sz w:val="22"/>
        </w:rPr>
        <w:t xml:space="preserve"> Reserve (32 </w:t>
      </w:r>
      <w:proofErr w:type="spellStart"/>
      <w:proofErr w:type="gramStart"/>
      <w:r>
        <w:rPr>
          <w:sz w:val="22"/>
        </w:rPr>
        <w:t>tC</w:t>
      </w:r>
      <w:proofErr w:type="spellEnd"/>
      <w:r>
        <w:rPr>
          <w:sz w:val="22"/>
        </w:rPr>
        <w:t>/</w:t>
      </w:r>
      <w:proofErr w:type="gramEnd"/>
      <w:r>
        <w:rPr>
          <w:sz w:val="22"/>
        </w:rPr>
        <w:t xml:space="preserve">ha, 2009), Laguna </w:t>
      </w:r>
      <w:proofErr w:type="spellStart"/>
      <w:r>
        <w:rPr>
          <w:sz w:val="22"/>
        </w:rPr>
        <w:t>Porá</w:t>
      </w:r>
      <w:proofErr w:type="spellEnd"/>
      <w:r>
        <w:rPr>
          <w:sz w:val="22"/>
        </w:rPr>
        <w:t xml:space="preserve"> Reserve (56 </w:t>
      </w:r>
      <w:proofErr w:type="spellStart"/>
      <w:r>
        <w:rPr>
          <w:sz w:val="22"/>
        </w:rPr>
        <w:t>tC</w:t>
      </w:r>
      <w:proofErr w:type="spellEnd"/>
      <w:r>
        <w:rPr>
          <w:sz w:val="22"/>
        </w:rPr>
        <w:t xml:space="preserve">/ha, 2009), </w:t>
      </w:r>
      <w:proofErr w:type="spellStart"/>
      <w:r>
        <w:rPr>
          <w:sz w:val="22"/>
        </w:rPr>
        <w:t>Agroganadera</w:t>
      </w:r>
      <w:proofErr w:type="spellEnd"/>
      <w:r>
        <w:rPr>
          <w:sz w:val="22"/>
        </w:rPr>
        <w:t xml:space="preserve"> J.O (120 </w:t>
      </w:r>
      <w:proofErr w:type="spellStart"/>
      <w:r>
        <w:rPr>
          <w:sz w:val="22"/>
        </w:rPr>
        <w:t>tC</w:t>
      </w:r>
      <w:proofErr w:type="spellEnd"/>
      <w:r>
        <w:rPr>
          <w:sz w:val="22"/>
        </w:rPr>
        <w:t xml:space="preserve">/ha, 2009) and </w:t>
      </w:r>
      <w:proofErr w:type="spellStart"/>
      <w:r>
        <w:rPr>
          <w:sz w:val="22"/>
        </w:rPr>
        <w:t>Tobich</w:t>
      </w:r>
      <w:proofErr w:type="spellEnd"/>
      <w:r>
        <w:rPr>
          <w:sz w:val="22"/>
        </w:rPr>
        <w:t xml:space="preserve"> (57 </w:t>
      </w:r>
      <w:proofErr w:type="spellStart"/>
      <w:r>
        <w:rPr>
          <w:sz w:val="22"/>
        </w:rPr>
        <w:t>tC</w:t>
      </w:r>
      <w:proofErr w:type="spellEnd"/>
      <w:r>
        <w:rPr>
          <w:sz w:val="22"/>
        </w:rPr>
        <w:t>/ha, 2013).</w:t>
      </w:r>
    </w:p>
    <w:p w:rsidR="007B2875" w:rsidRDefault="00BF1DCA">
      <w:pPr>
        <w:spacing w:after="80"/>
        <w:rPr>
          <w:sz w:val="22"/>
        </w:rPr>
      </w:pPr>
      <w:r>
        <w:rPr>
          <w:sz w:val="22"/>
        </w:rPr>
        <w:t xml:space="preserve">A.1.1.12. As a consequence of the high deforestation rates, the DCFC is undergoing a dramatic process of habitat fragmentation. In many parts of the DCFC, the remaining forest patches are so small that they are essentially islands of natural habitats in a landscape dominated by pasture. This extreme fragmentation has direct effects not only on the species of flora and fauna, but also on the physical characteristics of the environment, altering luminosity, humidity, temperature and </w:t>
      </w:r>
      <w:proofErr w:type="spellStart"/>
      <w:r>
        <w:rPr>
          <w:sz w:val="22"/>
        </w:rPr>
        <w:t>evapotranspiration</w:t>
      </w:r>
      <w:proofErr w:type="spellEnd"/>
      <w:r>
        <w:rPr>
          <w:sz w:val="22"/>
        </w:rPr>
        <w:t xml:space="preserve">, which in turn change the ecosystems services stocks and flows. For example, every year vast amounts of biomass are cleared and usually burned, resulting in millions of </w:t>
      </w:r>
      <w:proofErr w:type="spellStart"/>
      <w:r>
        <w:rPr>
          <w:sz w:val="22"/>
        </w:rPr>
        <w:t>tonnes</w:t>
      </w:r>
      <w:proofErr w:type="spellEnd"/>
      <w:r>
        <w:rPr>
          <w:sz w:val="22"/>
        </w:rPr>
        <w:t xml:space="preserve"> of carbon emitted to the atmosphere. The removal of native </w:t>
      </w:r>
      <w:proofErr w:type="spellStart"/>
      <w:r>
        <w:rPr>
          <w:sz w:val="22"/>
        </w:rPr>
        <w:t>vegeta¬tion</w:t>
      </w:r>
      <w:proofErr w:type="spellEnd"/>
      <w:r>
        <w:rPr>
          <w:sz w:val="22"/>
        </w:rPr>
        <w:t xml:space="preserve"> also decreases the land’s carbon storage capacity. </w:t>
      </w:r>
    </w:p>
    <w:p w:rsidR="007B2875" w:rsidRDefault="00BF1DCA">
      <w:pPr>
        <w:spacing w:after="80"/>
        <w:rPr>
          <w:sz w:val="22"/>
        </w:rPr>
      </w:pPr>
      <w:r>
        <w:rPr>
          <w:sz w:val="22"/>
        </w:rPr>
        <w:t xml:space="preserve">A.1.1.13. In addition to the high deforestation rates in the DCFC, other threats include poorly planned and implemented infrastructure developments such as roads and new urban areas, frequent human-induced fires to promote pasture growth, spread of non-native and pest species, soil and water </w:t>
      </w:r>
      <w:proofErr w:type="spellStart"/>
      <w:r>
        <w:rPr>
          <w:sz w:val="22"/>
        </w:rPr>
        <w:t>salinization</w:t>
      </w:r>
      <w:proofErr w:type="spellEnd"/>
      <w:r>
        <w:rPr>
          <w:sz w:val="22"/>
        </w:rPr>
        <w:t xml:space="preserve">, and overgrazing. </w:t>
      </w:r>
    </w:p>
    <w:p w:rsidR="007B2875" w:rsidRDefault="00BF1DCA">
      <w:pPr>
        <w:spacing w:after="80"/>
        <w:rPr>
          <w:sz w:val="22"/>
        </w:rPr>
      </w:pPr>
      <w:r>
        <w:rPr>
          <w:sz w:val="22"/>
        </w:rPr>
        <w:t xml:space="preserve">A.1.1.14. </w:t>
      </w:r>
      <w:proofErr w:type="gramStart"/>
      <w:r>
        <w:rPr>
          <w:sz w:val="22"/>
        </w:rPr>
        <w:t>A</w:t>
      </w:r>
      <w:proofErr w:type="gramEnd"/>
      <w:r>
        <w:rPr>
          <w:sz w:val="22"/>
        </w:rPr>
        <w:t xml:space="preserve"> recent analysis of economic drivers of deforestation indicates a very strong likelihood that all lands that are suitable for agriculture in the DCFC, excluding national protected areas, indigenous lands and/or private protected areas, will be transformed to cattle ranching within the next 15 years. This represents a further 550,000 ha of deforestation in the east-central DCFC alone. </w:t>
      </w:r>
    </w:p>
    <w:p w:rsidR="007B2875" w:rsidRDefault="00BF1DCA">
      <w:pPr>
        <w:spacing w:after="80"/>
        <w:rPr>
          <w:sz w:val="22"/>
        </w:rPr>
      </w:pPr>
      <w:r>
        <w:rPr>
          <w:sz w:val="22"/>
        </w:rPr>
        <w:t xml:space="preserve">A.1.1.15. Forest cover and carbon loss in the DCFC is occurring at such a rapid rate and scale that major environmental consequences are anticipated: a) Carbon stocks in the dry forest and woodland formations are significant. It is estimated that the further deforestation predicted for the east-central DCFC will result in emissions of c. 60 million </w:t>
      </w:r>
      <w:proofErr w:type="spellStart"/>
      <w:r>
        <w:rPr>
          <w:sz w:val="22"/>
        </w:rPr>
        <w:t>tonnes</w:t>
      </w:r>
      <w:proofErr w:type="spellEnd"/>
      <w:r>
        <w:rPr>
          <w:sz w:val="22"/>
        </w:rPr>
        <w:t xml:space="preserve"> of CO2. The other hotspot of deforestation, the south-western DCFC, stores higher carbon stocks in its natural vegetation and the deforestation is already more advanced. In terms of avoided emissions, a recent carbon inventory carried out by </w:t>
      </w:r>
      <w:proofErr w:type="spellStart"/>
      <w:r>
        <w:rPr>
          <w:sz w:val="22"/>
        </w:rPr>
        <w:t>Guyrá</w:t>
      </w:r>
      <w:proofErr w:type="spellEnd"/>
      <w:r>
        <w:rPr>
          <w:sz w:val="22"/>
        </w:rPr>
        <w:t xml:space="preserve"> Paraguay as part of the Paraguay Forest Conservation Project (PFCP) estimates an annual emission of 2.4 tCO2e per ha, which is projected to continue for at least 15 years; b) The DCFC ecosystems are fragile, with real short and long-term risks of degradation following clearance of natural vegetation cover and hydrological modification, such as the loss of soil fertility and increased salinity, both examples leading to desertification processes that are already locally evident; and c) The DCFC harbors rare and specialized ecological communities, with many endemic species. Within this extensive dry environment, many of its special biological and physical qualities are a function of scale. Reduction in landscape connectivity through habitat loss, degradation and fragmentation fundamentally jeopardizes the entire ecosystem, including its biodiversity and associated ecosystem services.</w:t>
      </w:r>
    </w:p>
    <w:p w:rsidR="007B2875" w:rsidRDefault="00BF1DCA">
      <w:pPr>
        <w:spacing w:after="80"/>
        <w:rPr>
          <w:sz w:val="22"/>
        </w:rPr>
      </w:pPr>
      <w:r>
        <w:rPr>
          <w:sz w:val="22"/>
        </w:rPr>
        <w:t>A.1.1.16. Because the Paraguayan economy primarily relies on the exploitation of natural resources and the production of commodities, these environmental changes might increase socio-economic risks in the future. It is also expected that indigenous communities will most likely lose their natural and cultural heritage, and with that their livelihoods.</w:t>
      </w:r>
    </w:p>
    <w:p w:rsidR="007B2875" w:rsidRDefault="007B2875">
      <w:pPr>
        <w:spacing w:after="80"/>
        <w:rPr>
          <w:sz w:val="22"/>
        </w:rPr>
      </w:pPr>
    </w:p>
    <w:p w:rsidR="007B2875" w:rsidRDefault="00BF1DCA">
      <w:pPr>
        <w:spacing w:after="80"/>
        <w:rPr>
          <w:rFonts w:ascii="Times New Roman Bold" w:hAnsi="Times New Roman Bold"/>
          <w:sz w:val="22"/>
        </w:rPr>
      </w:pPr>
      <w:r>
        <w:rPr>
          <w:rFonts w:ascii="Times New Roman Bold" w:hAnsi="Times New Roman Bold"/>
          <w:sz w:val="22"/>
        </w:rPr>
        <w:t>Institutional, regulatory, financial and market barriers contributing to high deforestation in the DCFC</w:t>
      </w:r>
    </w:p>
    <w:p w:rsidR="007B2875" w:rsidRDefault="00BF1DCA">
      <w:pPr>
        <w:spacing w:after="80"/>
        <w:rPr>
          <w:sz w:val="22"/>
        </w:rPr>
      </w:pPr>
      <w:r>
        <w:rPr>
          <w:sz w:val="22"/>
        </w:rPr>
        <w:t>A.1.1.17. Land titles in Paraguay are mostly held in private hands. About 96% of the national territory is privately owned, highlighting the importance of involving private landowners in conservation and sustainable use of the country’s natural resources.</w:t>
      </w:r>
    </w:p>
    <w:p w:rsidR="007B2875" w:rsidRDefault="00BF1DCA">
      <w:pPr>
        <w:spacing w:after="80"/>
        <w:rPr>
          <w:sz w:val="22"/>
        </w:rPr>
      </w:pPr>
      <w:r>
        <w:rPr>
          <w:sz w:val="22"/>
        </w:rPr>
        <w:lastRenderedPageBreak/>
        <w:t>A.1.1.18. The most important barriers related to the DCFC’s environmental problems are: a) Weak law enforcement: the Public Ministry and SEAM have limited human, financial and logistic capacity to oversee and enforce the implementation of current environmental legislation; b) Weak institutional capacity: training, processes and technology are not available to evaluate and monitor the implementation of environmental licenses (the legal instrument required to change the current land use of a rural property) and compliance with the law; c) Insufficient funding: the government lacks funding to implement efficient and immediate actions once an illegal action is detected or reported. Most of the time, the government agencies are dependent on other institutions or the private sector to oversee implementation of laws; d) Lack of incentives: there are very few incentives for private landowners to implement sustainable practices, conserve biodiversity and avoid/reduce carbon emissions; and e) Market failure: the country lacks a market system that encourages consumers to purchase only specific sustainably produced items that originate in the DCFC and rewards private landowners for conserving forests within the DCFC.</w:t>
      </w:r>
    </w:p>
    <w:p w:rsidR="007B2875" w:rsidRDefault="007B2875">
      <w:pPr>
        <w:spacing w:after="80"/>
        <w:rPr>
          <w:sz w:val="22"/>
        </w:rPr>
      </w:pPr>
    </w:p>
    <w:p w:rsidR="007B2875" w:rsidRDefault="00BF1DCA">
      <w:pPr>
        <w:spacing w:after="80"/>
        <w:rPr>
          <w:rFonts w:ascii="Times New Roman Bold" w:hAnsi="Times New Roman Bold"/>
          <w:sz w:val="22"/>
        </w:rPr>
      </w:pPr>
      <w:r>
        <w:rPr>
          <w:rFonts w:ascii="Times New Roman Bold" w:hAnsi="Times New Roman Bold"/>
          <w:sz w:val="22"/>
        </w:rPr>
        <w:t>Responses to the DCFC deforestation crisis</w:t>
      </w:r>
    </w:p>
    <w:p w:rsidR="007B2875" w:rsidRDefault="00BF1DCA">
      <w:pPr>
        <w:spacing w:after="80"/>
        <w:rPr>
          <w:sz w:val="22"/>
        </w:rPr>
      </w:pPr>
      <w:r>
        <w:rPr>
          <w:sz w:val="22"/>
        </w:rPr>
        <w:t xml:space="preserve">A.1.1.19. To date, most governmental responses to this problem have been legal, based on command-and-control approaches. Of these, the most effective measure is the legal requirement to set aside and protect 25% of native forests on a given landholding. The land cover on the remaining 75% of a property can be changed to other land uses upon obtaining an “environmental license” from the SEAM and INFONA. The selection of the 25% of native forest to be set aside is made by each landholder, usually without environmental criteria. This results in various forest landscape configurations such as single forest blocks, long and narrow forest strips and/or small and isolated forest patches that are practical for livestock management, but not from the environmental perspective. From the individual landholding point of view, the 25% being conserved is a significant area, but at the landscape scale it misses an opportunity for coordination with other landholdings that could vastly increase the environmental benefit without extra cost to the ranch owner. </w:t>
      </w:r>
    </w:p>
    <w:p w:rsidR="007B2875" w:rsidRDefault="00BF1DCA">
      <w:pPr>
        <w:spacing w:after="80"/>
        <w:rPr>
          <w:sz w:val="22"/>
        </w:rPr>
      </w:pPr>
      <w:r>
        <w:rPr>
          <w:sz w:val="22"/>
        </w:rPr>
        <w:t xml:space="preserve">A.1.1.20. </w:t>
      </w:r>
      <w:proofErr w:type="gramStart"/>
      <w:r>
        <w:rPr>
          <w:sz w:val="22"/>
        </w:rPr>
        <w:t>The</w:t>
      </w:r>
      <w:proofErr w:type="gramEnd"/>
      <w:r>
        <w:rPr>
          <w:sz w:val="22"/>
        </w:rPr>
        <w:t xml:space="preserve"> government has also established a network of protected areas (PAs) which covers about 15% of the DCFC. However, the network does not efficiently protect many of the unique local ecosystems and species of the DCFC, and moreover, most of the PAs lack financial resources and staff to meet minimum management standards. </w:t>
      </w:r>
    </w:p>
    <w:p w:rsidR="007B2875" w:rsidRDefault="00BF1DCA">
      <w:pPr>
        <w:spacing w:after="80"/>
        <w:rPr>
          <w:sz w:val="22"/>
        </w:rPr>
      </w:pPr>
      <w:r>
        <w:rPr>
          <w:sz w:val="22"/>
        </w:rPr>
        <w:t xml:space="preserve">A.1.1.21. </w:t>
      </w:r>
      <w:proofErr w:type="gramStart"/>
      <w:r>
        <w:rPr>
          <w:sz w:val="22"/>
        </w:rPr>
        <w:t>A</w:t>
      </w:r>
      <w:proofErr w:type="gramEnd"/>
      <w:r>
        <w:rPr>
          <w:sz w:val="22"/>
        </w:rPr>
        <w:t xml:space="preserve"> coalition of private landowners, indigenous communities and local NGOs has established a network of formally recognized Private Nature Reserves in the DCFC. The current network covers approximately 118,000 ha (1.6%) of the DCFC.</w:t>
      </w:r>
    </w:p>
    <w:p w:rsidR="007B2875" w:rsidRDefault="00BF1DCA">
      <w:pPr>
        <w:spacing w:after="80"/>
        <w:rPr>
          <w:sz w:val="22"/>
        </w:rPr>
      </w:pPr>
      <w:r>
        <w:rPr>
          <w:sz w:val="22"/>
        </w:rPr>
        <w:t xml:space="preserve">A.1.1.22. Environmentally </w:t>
      </w:r>
      <w:proofErr w:type="gramStart"/>
      <w:r>
        <w:rPr>
          <w:sz w:val="22"/>
        </w:rPr>
        <w:t>mindful</w:t>
      </w:r>
      <w:proofErr w:type="gramEnd"/>
      <w:r>
        <w:rPr>
          <w:sz w:val="22"/>
        </w:rPr>
        <w:t xml:space="preserve"> cattle ranchers in the DCFC are very active in conserving natural areas on their properties. Many others have expressed their interest in the opportunity to use carbon credits to maintain more extensive natural cover on their landholdings, beyond the legally required 25%. This creates the possibility of greater use of incentives as a conservation tool and strategy, to support and synergize the current regulatory scheme.</w:t>
      </w:r>
    </w:p>
    <w:p w:rsidR="007B2875" w:rsidRDefault="00BF1DCA">
      <w:pPr>
        <w:spacing w:after="80"/>
        <w:rPr>
          <w:sz w:val="22"/>
        </w:rPr>
      </w:pPr>
      <w:r>
        <w:rPr>
          <w:sz w:val="22"/>
        </w:rPr>
        <w:t xml:space="preserve">A.1.1.23. The current command-and-control environmental regulations have the potential to be substantially more effective in conserving native forest and </w:t>
      </w:r>
      <w:proofErr w:type="spellStart"/>
      <w:r>
        <w:rPr>
          <w:sz w:val="22"/>
        </w:rPr>
        <w:t>simultane¬ously</w:t>
      </w:r>
      <w:proofErr w:type="spellEnd"/>
      <w:r>
        <w:rPr>
          <w:sz w:val="22"/>
        </w:rPr>
        <w:t xml:space="preserve"> promoting economic growth, improving quality of life, and creating new jobs for the people of the DCFC if coupled with the appropriate incentive schemes that reward landowners for their conservation and sustainable use efforts beyond what is required by law. There is an immediate need to implement forest conservation incentives in the DCFC in a proactive manner, before it is too late. The criteria for incentives must be science-based, with sound methodologies to identify and select critical areas that need urgent attention and to design and implement adequate monitoring, reporting and verification mechanisms. There is also the need to clearly define formal procedures to ensure the active participation of forest owners, whose conservation actions provide </w:t>
      </w:r>
      <w:proofErr w:type="spellStart"/>
      <w:r>
        <w:rPr>
          <w:sz w:val="22"/>
        </w:rPr>
        <w:t>ben¬efits</w:t>
      </w:r>
      <w:proofErr w:type="spellEnd"/>
      <w:r>
        <w:rPr>
          <w:sz w:val="22"/>
        </w:rPr>
        <w:t xml:space="preserve"> and environmental services, in environmental services markets, mainly the voluntary carbon market. This can be achieved by providing internationally recognized certificates that can be traded in carbon markets. </w:t>
      </w:r>
    </w:p>
    <w:p w:rsidR="007B2875" w:rsidRDefault="00BF1DCA">
      <w:pPr>
        <w:spacing w:after="80"/>
        <w:rPr>
          <w:sz w:val="22"/>
        </w:rPr>
      </w:pPr>
      <w:r>
        <w:rPr>
          <w:sz w:val="22"/>
        </w:rPr>
        <w:lastRenderedPageBreak/>
        <w:t xml:space="preserve">A.1.1.24. </w:t>
      </w:r>
      <w:proofErr w:type="gramStart"/>
      <w:r>
        <w:rPr>
          <w:sz w:val="22"/>
        </w:rPr>
        <w:t>The</w:t>
      </w:r>
      <w:proofErr w:type="gramEnd"/>
      <w:r>
        <w:rPr>
          <w:sz w:val="22"/>
        </w:rPr>
        <w:t xml:space="preserve"> recently regulated Law 3001/06 “Valuation and Payment for Environmental Services” provides the legal basis to substantially increase the demand for Environmental Service Certificates (ESC) from native forests. ESCs from landholders who fully comply with current legal regulations will be eligible for trading in the National Stock Market, where they may be acquired by another owner who has not complied with current legal obligation to maintain 25% of the landholding under native land cover. It is estimated that the DCFC will become an important source of ESCs for landowners from the eastern region of the country, historically covered by humid subtropical Interior Atlantic Forest, who do not currently have 25% of their landholding under native forest cover</w:t>
      </w:r>
    </w:p>
    <w:p w:rsidR="007B2875" w:rsidRDefault="007B2875">
      <w:pPr>
        <w:spacing w:after="80"/>
        <w:rPr>
          <w:sz w:val="22"/>
        </w:rPr>
      </w:pPr>
    </w:p>
    <w:p w:rsidR="007B2875" w:rsidRDefault="00BF1DCA">
      <w:pPr>
        <w:spacing w:after="80"/>
        <w:rPr>
          <w:rFonts w:ascii="Times New Roman Bold" w:hAnsi="Times New Roman Bold"/>
          <w:sz w:val="22"/>
        </w:rPr>
      </w:pPr>
      <w:r>
        <w:rPr>
          <w:rFonts w:ascii="Times New Roman Bold" w:hAnsi="Times New Roman Bold"/>
          <w:sz w:val="22"/>
        </w:rPr>
        <w:t>A.1.2.</w:t>
      </w:r>
      <w:r>
        <w:rPr>
          <w:rFonts w:ascii="Times New Roman Bold" w:hAnsi="Times New Roman Bold"/>
          <w:sz w:val="22"/>
        </w:rPr>
        <w:tab/>
        <w:t>THE BASELINE SCENARIO:</w:t>
      </w:r>
    </w:p>
    <w:p w:rsidR="007B2875" w:rsidRDefault="00BF1DCA">
      <w:pPr>
        <w:spacing w:after="80"/>
        <w:rPr>
          <w:sz w:val="22"/>
        </w:rPr>
      </w:pPr>
      <w:r>
        <w:rPr>
          <w:sz w:val="22"/>
        </w:rPr>
        <w:t>A.1.2.1.</w:t>
      </w:r>
      <w:r>
        <w:rPr>
          <w:sz w:val="22"/>
        </w:rPr>
        <w:tab/>
        <w:t xml:space="preserve">Although aware of the implications of high deforestation rates, government agencies face the challenge of harmonizing development, private investment, poverty reduction and natural habitat conservation. Under the current business-as-usual (BAU) scenario, it seems unlikely that deforestation rates will decrease in the near future. International high food and fuel prices favor ongoing land clearance for cattle ranching and agricultural crops to meet global demand for food, animal fodder and </w:t>
      </w:r>
      <w:proofErr w:type="spellStart"/>
      <w:r>
        <w:rPr>
          <w:sz w:val="22"/>
        </w:rPr>
        <w:t>biofuels</w:t>
      </w:r>
      <w:proofErr w:type="spellEnd"/>
      <w:r>
        <w:rPr>
          <w:sz w:val="22"/>
        </w:rPr>
        <w:t xml:space="preserve">. </w:t>
      </w:r>
    </w:p>
    <w:p w:rsidR="007B2875" w:rsidRDefault="00BF1DCA">
      <w:pPr>
        <w:spacing w:after="80"/>
        <w:rPr>
          <w:sz w:val="22"/>
        </w:rPr>
      </w:pPr>
      <w:r>
        <w:rPr>
          <w:sz w:val="22"/>
        </w:rPr>
        <w:t>A.1.2.2.</w:t>
      </w:r>
      <w:r>
        <w:rPr>
          <w:sz w:val="22"/>
        </w:rPr>
        <w:tab/>
        <w:t xml:space="preserve">According to recent predictive deforestation models under the current BAU scenario, the only native dry forest remaining in the DCFC in the next decade will be that found in protected areas and in the legally mandated 25% forest reserves in private properties. It is estimated that further deforestation in the DCFC region will result in emissions of around 60 million </w:t>
      </w:r>
      <w:proofErr w:type="spellStart"/>
      <w:r>
        <w:rPr>
          <w:sz w:val="22"/>
        </w:rPr>
        <w:t>tonnes</w:t>
      </w:r>
      <w:proofErr w:type="spellEnd"/>
      <w:r>
        <w:rPr>
          <w:sz w:val="22"/>
        </w:rPr>
        <w:t xml:space="preserve"> of CO2, a highly significant amount.</w:t>
      </w:r>
    </w:p>
    <w:p w:rsidR="007B2875" w:rsidRDefault="00BF1DCA">
      <w:pPr>
        <w:spacing w:after="80"/>
        <w:rPr>
          <w:sz w:val="22"/>
        </w:rPr>
      </w:pPr>
      <w:r>
        <w:rPr>
          <w:sz w:val="22"/>
        </w:rPr>
        <w:t>A.1.2.3.</w:t>
      </w:r>
      <w:r>
        <w:rPr>
          <w:sz w:val="22"/>
        </w:rPr>
        <w:tab/>
        <w:t xml:space="preserve">The future of the DCFC outside protected areas will most like be an impoverished and highly fragmented landscape. Other likely consequences include isolated protected areas, increased desertification processes, expansion of the dunes system, and further soil and water </w:t>
      </w:r>
      <w:proofErr w:type="spellStart"/>
      <w:r>
        <w:rPr>
          <w:sz w:val="22"/>
        </w:rPr>
        <w:t>salinization</w:t>
      </w:r>
      <w:proofErr w:type="spellEnd"/>
      <w:r>
        <w:rPr>
          <w:sz w:val="22"/>
        </w:rPr>
        <w:t>.</w:t>
      </w:r>
    </w:p>
    <w:p w:rsidR="007B2875" w:rsidRDefault="007B2875">
      <w:pPr>
        <w:spacing w:after="80"/>
        <w:rPr>
          <w:sz w:val="22"/>
        </w:rPr>
      </w:pPr>
    </w:p>
    <w:p w:rsidR="007B2875" w:rsidRDefault="00BF1DCA">
      <w:pPr>
        <w:spacing w:after="80"/>
        <w:rPr>
          <w:rFonts w:ascii="Times New Roman Bold" w:hAnsi="Times New Roman Bold"/>
          <w:sz w:val="22"/>
        </w:rPr>
      </w:pPr>
      <w:r>
        <w:rPr>
          <w:rFonts w:ascii="Times New Roman Bold" w:hAnsi="Times New Roman Bold"/>
          <w:sz w:val="22"/>
        </w:rPr>
        <w:t>A.1.3. BASELINE PROJECTS:</w:t>
      </w:r>
    </w:p>
    <w:p w:rsidR="007B2875" w:rsidRDefault="00BF1DCA">
      <w:pPr>
        <w:spacing w:after="80"/>
        <w:rPr>
          <w:sz w:val="22"/>
        </w:rPr>
      </w:pPr>
      <w:r>
        <w:rPr>
          <w:sz w:val="22"/>
        </w:rPr>
        <w:t>A.1.3.1.</w:t>
      </w:r>
      <w:r>
        <w:rPr>
          <w:sz w:val="22"/>
        </w:rPr>
        <w:tab/>
      </w:r>
      <w:r>
        <w:rPr>
          <w:sz w:val="22"/>
          <w:u w:val="single"/>
        </w:rPr>
        <w:t>UN-REDD Paraguay Program</w:t>
      </w:r>
      <w:r>
        <w:rPr>
          <w:sz w:val="22"/>
        </w:rPr>
        <w:t>: the National Program for Paraguay is supporting the government in its efforts to overcome the drivers of deforestation and degradation of forests, ensuring that the country is ready for REDD+. The Paraguay program is pursuing three outcomes to meet this objective: a) improved institutional and technical capacity of government and civil society organizations to manage REDD+ activities in Paraguay; b) capacity established to implement REDD+ at the local level; and c) increased knowledge and capacity building on REDD+ for forest dependent communities, especially Indigenous Peoples and other relevant stakeholders. Since this program is being implemented by the SEAM, INFONA and FAPI, who are also co-implementers of the PES project being submitted to the GEF, we will ensure close collaboration and cross-learning from each other. The UN-REDD program has made progress in developing a methodology for forest inventory, including the preparation of base maps, which are currently undergoing a process of validation at the national level, which will serve as the baseline for developing future deforestation scenarios and to quantify multiple benefits from native forests, apart from timber. With the assistance of the Japan International Cooperation (JICS) and the Forestry and Forest Products Research Institute (FFPRI), SEAM and INFONA have completed the production of carbon maps for the IAF. The methodology used for this map will be applied in our DCFC project. Although important progress has been made within the UN-REDD Program in Paraguay</w:t>
      </w:r>
    </w:p>
    <w:p w:rsidR="007B2875" w:rsidRDefault="00BF1DCA">
      <w:pPr>
        <w:spacing w:after="80"/>
        <w:rPr>
          <w:sz w:val="22"/>
        </w:rPr>
      </w:pPr>
      <w:r>
        <w:rPr>
          <w:sz w:val="22"/>
        </w:rPr>
        <w:t>A.1.3.2.</w:t>
      </w:r>
      <w:r>
        <w:rPr>
          <w:sz w:val="22"/>
        </w:rPr>
        <w:tab/>
        <w:t xml:space="preserve"> </w:t>
      </w:r>
      <w:r>
        <w:rPr>
          <w:sz w:val="22"/>
          <w:u w:val="single"/>
        </w:rPr>
        <w:t>Paraguayan Forest Conservation Project</w:t>
      </w:r>
      <w:r>
        <w:rPr>
          <w:sz w:val="22"/>
        </w:rPr>
        <w:t xml:space="preserve"> (PFCP): designed and executed by </w:t>
      </w:r>
      <w:proofErr w:type="spellStart"/>
      <w:r>
        <w:rPr>
          <w:sz w:val="22"/>
        </w:rPr>
        <w:t>Guyrá</w:t>
      </w:r>
      <w:proofErr w:type="spellEnd"/>
      <w:r>
        <w:rPr>
          <w:sz w:val="22"/>
        </w:rPr>
        <w:t xml:space="preserve"> Paraguay, the World Land Trust (WLT), and Swire Pacific Offshore. This project, located in the eastern part of the DCFC, capitalizes on the interest of private businesses to invest in Corporate Social Responsibility and compensation for the emission of greenhouse gases. This project is creating opportunities not only to avoid the deforestation and degradation of forests, but also to generate conservation incentives for private landowners and cover opportunity costs. The ultimate aim is to promote activities that will produce a land use pattern with better balance between environmental and economic concerns, to the long-term gain of all.  The PFCP received the validation from the Climate, Community and Biodiversity Standards (CCB) and Verified Carbon Standard (VCS) in 2010 for a 20 years period.</w:t>
      </w:r>
    </w:p>
    <w:p w:rsidR="007B2875" w:rsidRDefault="00BF1DCA">
      <w:pPr>
        <w:spacing w:after="80"/>
        <w:rPr>
          <w:sz w:val="22"/>
        </w:rPr>
      </w:pPr>
      <w:r>
        <w:rPr>
          <w:sz w:val="22"/>
        </w:rPr>
        <w:lastRenderedPageBreak/>
        <w:t xml:space="preserve">There are currently two active components in REDD projects being developed by </w:t>
      </w:r>
      <w:proofErr w:type="spellStart"/>
      <w:r>
        <w:rPr>
          <w:sz w:val="22"/>
        </w:rPr>
        <w:t>Guyra</w:t>
      </w:r>
      <w:proofErr w:type="spellEnd"/>
      <w:r>
        <w:rPr>
          <w:sz w:val="22"/>
        </w:rPr>
        <w:t xml:space="preserve"> Paraguay within the PFCP: Reduction of GHG emissions from deforestation and forest degradation in the Chaco-</w:t>
      </w:r>
      <w:proofErr w:type="spellStart"/>
      <w:r>
        <w:rPr>
          <w:sz w:val="22"/>
        </w:rPr>
        <w:t>Pantanal</w:t>
      </w:r>
      <w:proofErr w:type="spellEnd"/>
      <w:r>
        <w:rPr>
          <w:sz w:val="22"/>
        </w:rPr>
        <w:t xml:space="preserve"> ecosystem; and Reduction of GHG emissions from deforestation and forest degradation in the Interior Atlantic ecosystem – Forest Protection in the La Amistad Community, San Rafael. Both projects have just begun and their lifespan is 20 years. In total the projects will mitigate 800,000 </w:t>
      </w:r>
      <w:proofErr w:type="spellStart"/>
      <w:r>
        <w:rPr>
          <w:sz w:val="22"/>
        </w:rPr>
        <w:t>tCe</w:t>
      </w:r>
      <w:proofErr w:type="spellEnd"/>
      <w:r>
        <w:rPr>
          <w:sz w:val="22"/>
        </w:rPr>
        <w:t xml:space="preserve"> in approximately 10,000 hectares of forests. Financial resources come from Swire Pacific Offshore under the voluntary carbon market and inserted into the company’s SER while reducing its carbon footprint. Each project has a different strategy; Chaco-</w:t>
      </w:r>
      <w:proofErr w:type="spellStart"/>
      <w:r>
        <w:rPr>
          <w:sz w:val="22"/>
        </w:rPr>
        <w:t>Pantanal</w:t>
      </w:r>
      <w:proofErr w:type="spellEnd"/>
      <w:r>
        <w:rPr>
          <w:sz w:val="22"/>
        </w:rPr>
        <w:t xml:space="preserve"> is based on the purchase of properties of high conservation value threatened through conversion to cattle ranches to prevent deforestation. La Amistad is based on a PES scheme to local communities. With the collaboration of the World Land Trust (WLT), and to offset unavoidable carbon emissions by the project proponent, Swire Pacific Offshore (SPO) under its Corporate Social Responsibility </w:t>
      </w:r>
      <w:proofErr w:type="spellStart"/>
      <w:r>
        <w:rPr>
          <w:sz w:val="22"/>
        </w:rPr>
        <w:t>Programme</w:t>
      </w:r>
      <w:proofErr w:type="spellEnd"/>
      <w:r>
        <w:rPr>
          <w:sz w:val="22"/>
        </w:rPr>
        <w:t xml:space="preserve">, </w:t>
      </w:r>
      <w:proofErr w:type="spellStart"/>
      <w:r>
        <w:rPr>
          <w:sz w:val="22"/>
        </w:rPr>
        <w:t>Guyra</w:t>
      </w:r>
      <w:proofErr w:type="spellEnd"/>
      <w:r>
        <w:rPr>
          <w:sz w:val="22"/>
        </w:rPr>
        <w:t xml:space="preserve"> Paraguay has carried out the purchase of 4,745 ha in the Chaco, signing a co-ownership and management contract with local communities. In the process of calculating the carbon emissions, </w:t>
      </w:r>
      <w:proofErr w:type="spellStart"/>
      <w:r>
        <w:rPr>
          <w:sz w:val="22"/>
        </w:rPr>
        <w:t>Guyra</w:t>
      </w:r>
      <w:proofErr w:type="spellEnd"/>
      <w:r>
        <w:rPr>
          <w:sz w:val="22"/>
        </w:rPr>
        <w:t xml:space="preserve"> Paraguay adapted </w:t>
      </w:r>
      <w:proofErr w:type="spellStart"/>
      <w:r>
        <w:rPr>
          <w:sz w:val="22"/>
        </w:rPr>
        <w:t>allometric</w:t>
      </w:r>
      <w:proofErr w:type="spellEnd"/>
      <w:r>
        <w:rPr>
          <w:sz w:val="22"/>
        </w:rPr>
        <w:t xml:space="preserve"> equations, carried out the measurements taken place in the field, processed the data, and made the proper estimates. To ensure the proper development of the project, </w:t>
      </w:r>
      <w:proofErr w:type="spellStart"/>
      <w:r>
        <w:rPr>
          <w:sz w:val="22"/>
        </w:rPr>
        <w:t>Guyra</w:t>
      </w:r>
      <w:proofErr w:type="spellEnd"/>
      <w:r>
        <w:rPr>
          <w:sz w:val="22"/>
        </w:rPr>
        <w:t xml:space="preserve"> Paraguay chose two voluntary standards, the Verified Carbon Standard (VCS) which has a carbon focus, and the Climate, Community &amp; Biodiversity Standard (CCB) that focuses on carbon, communities, and biodiversity. The process of certification of these standards includes a 3rd party validation and verification by international auditors. The coordination will benefit from the addition of more properties, which will complement the already established project area. We have also received inquiries from other property owners expressing their interest on becoming beneficiaries through PES. </w:t>
      </w:r>
    </w:p>
    <w:p w:rsidR="007B2875" w:rsidRDefault="00BF1DCA">
      <w:pPr>
        <w:spacing w:after="80"/>
        <w:rPr>
          <w:sz w:val="22"/>
        </w:rPr>
      </w:pPr>
      <w:r>
        <w:rPr>
          <w:sz w:val="22"/>
        </w:rPr>
        <w:t>A.1.3.3.</w:t>
      </w:r>
      <w:r>
        <w:rPr>
          <w:sz w:val="22"/>
        </w:rPr>
        <w:tab/>
      </w:r>
      <w:r>
        <w:rPr>
          <w:sz w:val="22"/>
          <w:u w:val="single"/>
        </w:rPr>
        <w:t>Green Commodities Project</w:t>
      </w:r>
      <w:r>
        <w:rPr>
          <w:sz w:val="22"/>
        </w:rPr>
        <w:t>: this is a current approved GEF-UNDP project that is awaiting endorsement of the project document. The project duration is 60 months, and its main objective is to protect ecosystem functions and biodiversity in the country given the current and emerging threats from commodity production. This project will start in the IAF but could be replicated in other regions throughout the life of the project, including the DCFC. It has three main components 1) Governance framework for managing multiple use landscapes (MUL); 2) Financial and market incentives framework to protect biodiversity and promote sustainable land management within MUL; and 3) Strengthened implementation of land set aside system and sustainable production practices. Our PES proposal will closely coordinate with the Green Commodities project and build on its lessons learned, especially on components 2 (incentives) and 3 (land set aside), helping to replicate the experiences in the DCFC.</w:t>
      </w:r>
    </w:p>
    <w:p w:rsidR="007B2875" w:rsidRDefault="00BF1DCA">
      <w:pPr>
        <w:spacing w:after="80"/>
        <w:rPr>
          <w:sz w:val="22"/>
        </w:rPr>
      </w:pPr>
      <w:r>
        <w:rPr>
          <w:sz w:val="22"/>
        </w:rPr>
        <w:t>A.1.3.4.</w:t>
      </w:r>
      <w:r>
        <w:rPr>
          <w:sz w:val="22"/>
        </w:rPr>
        <w:tab/>
        <w:t xml:space="preserve"> </w:t>
      </w:r>
      <w:proofErr w:type="spellStart"/>
      <w:r>
        <w:rPr>
          <w:sz w:val="22"/>
          <w:u w:val="single"/>
        </w:rPr>
        <w:t>PASChaco</w:t>
      </w:r>
      <w:proofErr w:type="spellEnd"/>
      <w:r>
        <w:rPr>
          <w:sz w:val="22"/>
        </w:rPr>
        <w:t xml:space="preserve">: the tri-national “Sustainable Forest Management in the Gran Chaco Americano </w:t>
      </w:r>
      <w:proofErr w:type="spellStart"/>
      <w:r>
        <w:rPr>
          <w:sz w:val="22"/>
        </w:rPr>
        <w:t>Ecoregion</w:t>
      </w:r>
      <w:proofErr w:type="spellEnd"/>
      <w:r>
        <w:rPr>
          <w:sz w:val="22"/>
        </w:rPr>
        <w:t xml:space="preserve">” is a regional GEF funded project for Argentina, Bolivia and Paraguay that will go until 2016. Its main objective is to avoid further land and forest degradation through supporting sustainable productive activities in this </w:t>
      </w:r>
      <w:proofErr w:type="spellStart"/>
      <w:r>
        <w:rPr>
          <w:sz w:val="22"/>
        </w:rPr>
        <w:t>ecoregion</w:t>
      </w:r>
      <w:proofErr w:type="spellEnd"/>
      <w:r>
        <w:rPr>
          <w:sz w:val="22"/>
        </w:rPr>
        <w:t xml:space="preserve">. Our PES project will build on the </w:t>
      </w:r>
      <w:proofErr w:type="spellStart"/>
      <w:r>
        <w:rPr>
          <w:sz w:val="22"/>
        </w:rPr>
        <w:t>PASChaco</w:t>
      </w:r>
      <w:proofErr w:type="spellEnd"/>
      <w:r>
        <w:rPr>
          <w:sz w:val="22"/>
        </w:rPr>
        <w:t xml:space="preserve"> experience in piloting sustainable and low carbon production practices as well as sustainable forestry adapted to the environmental and social conditions of the dry Chaco in Paraguay.</w:t>
      </w:r>
    </w:p>
    <w:p w:rsidR="007B2875" w:rsidRDefault="00BF1DCA">
      <w:pPr>
        <w:tabs>
          <w:tab w:val="left" w:pos="810"/>
        </w:tabs>
        <w:spacing w:after="80"/>
        <w:rPr>
          <w:sz w:val="22"/>
        </w:rPr>
      </w:pPr>
      <w:r>
        <w:rPr>
          <w:sz w:val="22"/>
        </w:rPr>
        <w:t xml:space="preserve">A.1.3.5. </w:t>
      </w:r>
      <w:r>
        <w:rPr>
          <w:sz w:val="22"/>
        </w:rPr>
        <w:tab/>
        <w:t>It is important to highlight here other crucial current investments from the government and the private sector to reduce deforestation rates, and therefore the emission of GHG, in the DCFC that will also serve as baseline projects for our PES scheme project. Thus, a) The SEAM and INFONA are devoting important resources to enforce environmental legislation in the DCFC, such as the mandate for landowners to set aside 25% of native forests in their landholdings and obtain an approved “environmental license” for the change in land use of the remaining 75% of the property; b) the government has established and provide funding for the management of a network of protected areas which covers about 15% of the DCFC; and c) a coalition of private landowners, indigenous communities and local NGOs has established a network of formally recognized Private Nature Reserves in the DCFC and devoted considerable financial resources to manage these areas.</w:t>
      </w:r>
    </w:p>
    <w:p w:rsidR="007B2875" w:rsidRDefault="007B2875">
      <w:pPr>
        <w:spacing w:after="80"/>
        <w:rPr>
          <w:sz w:val="22"/>
        </w:rPr>
      </w:pPr>
    </w:p>
    <w:p w:rsidR="007B2875" w:rsidRDefault="00BF1DCA">
      <w:pPr>
        <w:spacing w:after="80"/>
        <w:rPr>
          <w:rFonts w:ascii="Times New Roman Bold" w:hAnsi="Times New Roman Bold"/>
          <w:sz w:val="22"/>
        </w:rPr>
      </w:pPr>
      <w:r>
        <w:rPr>
          <w:rFonts w:ascii="Times New Roman Bold" w:hAnsi="Times New Roman Bold"/>
          <w:sz w:val="22"/>
        </w:rPr>
        <w:t>A.1.4.</w:t>
      </w:r>
      <w:r>
        <w:rPr>
          <w:rFonts w:ascii="Times New Roman Bold" w:hAnsi="Times New Roman Bold"/>
          <w:sz w:val="22"/>
        </w:rPr>
        <w:tab/>
        <w:t>THE PROPOSED ALTERNATIVE SCENARIO AND COMPONENTS OF THE PROJECT:</w:t>
      </w:r>
    </w:p>
    <w:p w:rsidR="007B2875" w:rsidRDefault="00BF1DCA">
      <w:pPr>
        <w:spacing w:after="80"/>
        <w:rPr>
          <w:sz w:val="22"/>
        </w:rPr>
      </w:pPr>
      <w:r>
        <w:rPr>
          <w:sz w:val="22"/>
        </w:rPr>
        <w:lastRenderedPageBreak/>
        <w:t>A.1.4.1.</w:t>
      </w:r>
      <w:r>
        <w:rPr>
          <w:sz w:val="22"/>
        </w:rPr>
        <w:tab/>
        <w:t>With the implementation of Law 3001 that allows for the provision of ESCs, there is an opportunity to use carbon stocks as an environmental service to avoid and reduce greenhouse gas (GHG) emissions from deforestation. Carbon stocks in the DCFC will be further enhanced through the establishment of a stakeholder incentive mechanism for Payment for Ecosystem Services (PES). This alternative scenario will permit the conservation of additional carbon stocks, beyond those in the legally mandated 25% of the original forest extent in each private property, and other ecosystem services such as biodiversity values and cultural services.</w:t>
      </w:r>
    </w:p>
    <w:p w:rsidR="007B2875" w:rsidRDefault="00BF1DCA">
      <w:pPr>
        <w:spacing w:after="80"/>
        <w:rPr>
          <w:sz w:val="22"/>
        </w:rPr>
      </w:pPr>
      <w:r>
        <w:rPr>
          <w:sz w:val="22"/>
        </w:rPr>
        <w:t>A.1.4.2.</w:t>
      </w:r>
      <w:r>
        <w:rPr>
          <w:sz w:val="22"/>
        </w:rPr>
        <w:tab/>
        <w:t xml:space="preserve"> </w:t>
      </w:r>
      <w:r>
        <w:rPr>
          <w:sz w:val="22"/>
          <w:u w:val="single"/>
        </w:rPr>
        <w:t>Justification for choosing the DCFC from the climate change (CC) mitigation perspective</w:t>
      </w:r>
      <w:r>
        <w:rPr>
          <w:sz w:val="22"/>
        </w:rPr>
        <w:t xml:space="preserve">: the DCFC was chosen because of the following CC mitigation considerations: a) GHG emission mitigation potential: if we take into consideration just the past 3 years (2011-2013), it is estimated that deforestation contributed to the emission of 39.9 million tCO2e from the IAF and 158 million tCO2e from the DCFC (Table 2); with 80% of the combined CO2 emissions coming from deforestation in the DCFC; b) Forested area available for deforestation: under a 15-year BAU scenario, potential emissions from the IAF could reach 344,055,000 tCO2e and from the DCFC 2,205,000,000 tCO2e (Table 3), with the DCFC generating 6.4 times more CO2 for potential emissions than the IAF; and c) Opportunity cost for REDD+: given the higher agricultural productivity in the IAF, the opportunity cost of implementing a REDD+ or PES scheme to retain forest cover is the IAF is about 10 times higher per hectare (about USD 1,000/ha for soybean production) than in the DCFC (about USD 100/ha for beef production) (estimations made by </w:t>
      </w:r>
      <w:proofErr w:type="spellStart"/>
      <w:r>
        <w:rPr>
          <w:sz w:val="22"/>
        </w:rPr>
        <w:t>Guyra</w:t>
      </w:r>
      <w:proofErr w:type="spellEnd"/>
      <w:r>
        <w:rPr>
          <w:sz w:val="22"/>
        </w:rPr>
        <w:t xml:space="preserve"> Paraguay in 2013). These three arguments make the DCFC is a clear priority region for the Government of Paraguay (</w:t>
      </w:r>
      <w:proofErr w:type="spellStart"/>
      <w:proofErr w:type="gramStart"/>
      <w:r>
        <w:rPr>
          <w:sz w:val="22"/>
        </w:rPr>
        <w:t>GoP</w:t>
      </w:r>
      <w:proofErr w:type="spellEnd"/>
      <w:proofErr w:type="gramEnd"/>
      <w:r>
        <w:rPr>
          <w:sz w:val="22"/>
        </w:rPr>
        <w:t>) to reduce GHG emissions from LULUCF sector using a PES scheme, not only presently but also in the future.</w:t>
      </w:r>
    </w:p>
    <w:tbl>
      <w:tblPr>
        <w:tblW w:w="0" w:type="auto"/>
        <w:jc w:val="center"/>
        <w:tblLayout w:type="fixed"/>
        <w:tblLook w:val="0000"/>
      </w:tblPr>
      <w:tblGrid>
        <w:gridCol w:w="1060"/>
        <w:gridCol w:w="1565"/>
        <w:gridCol w:w="1104"/>
        <w:gridCol w:w="1346"/>
        <w:gridCol w:w="1502"/>
        <w:gridCol w:w="1104"/>
        <w:gridCol w:w="1410"/>
      </w:tblGrid>
      <w:tr w:rsidR="007B2875">
        <w:trPr>
          <w:cantSplit/>
          <w:trHeight w:val="280"/>
          <w:jc w:val="center"/>
        </w:trPr>
        <w:tc>
          <w:tcPr>
            <w:tcW w:w="9091" w:type="dxa"/>
            <w:gridSpan w:val="7"/>
            <w:tcBorders>
              <w:top w:val="none" w:sz="8" w:space="0" w:color="000000"/>
              <w:left w:val="none" w:sz="8" w:space="0" w:color="000000"/>
              <w:bottom w:val="single" w:sz="4" w:space="0" w:color="000000"/>
              <w:right w:val="none" w:sz="8"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rFonts w:ascii="Times New Roman Bold" w:hAnsi="Times New Roman Bold"/>
                <w:sz w:val="20"/>
              </w:rPr>
              <w:t>Table 2:</w:t>
            </w:r>
            <w:r>
              <w:rPr>
                <w:sz w:val="20"/>
              </w:rPr>
              <w:t xml:space="preserve"> CO</w:t>
            </w:r>
            <w:r>
              <w:rPr>
                <w:sz w:val="20"/>
                <w:vertAlign w:val="subscript"/>
              </w:rPr>
              <w:t>2</w:t>
            </w:r>
            <w:r>
              <w:rPr>
                <w:sz w:val="20"/>
              </w:rPr>
              <w:t xml:space="preserve"> emissions in the IAF and DCFC in 2011 and 2013</w:t>
            </w:r>
          </w:p>
        </w:tc>
      </w:tr>
      <w:tr w:rsidR="007B2875">
        <w:trPr>
          <w:cantSplit/>
          <w:trHeight w:val="300"/>
          <w:jc w:val="center"/>
        </w:trPr>
        <w:tc>
          <w:tcPr>
            <w:tcW w:w="1060" w:type="dxa"/>
            <w:vMerge w:val="restart"/>
            <w:tcBorders>
              <w:top w:val="single" w:sz="4" w:space="0" w:color="000000"/>
              <w:left w:val="single" w:sz="4" w:space="0" w:color="000000"/>
              <w:bottom w:val="single" w:sz="4" w:space="0" w:color="000000"/>
              <w:right w:val="single" w:sz="4" w:space="0" w:color="000000"/>
            </w:tcBorders>
            <w:shd w:val="clear" w:color="auto" w:fill="D9D9D9"/>
            <w:tcMar>
              <w:top w:w="0" w:type="dxa"/>
              <w:left w:w="0" w:type="dxa"/>
              <w:bottom w:w="0" w:type="dxa"/>
              <w:right w:w="0" w:type="dxa"/>
            </w:tcMar>
            <w:vAlign w:val="center"/>
          </w:tcPr>
          <w:p w:rsidR="007B2875" w:rsidRDefault="00BF1DCA">
            <w:pPr>
              <w:jc w:val="center"/>
              <w:rPr>
                <w:rFonts w:ascii="Times New Roman Bold" w:hAnsi="Times New Roman Bold"/>
                <w:sz w:val="20"/>
              </w:rPr>
            </w:pPr>
            <w:r>
              <w:rPr>
                <w:rFonts w:ascii="Times New Roman Bold" w:hAnsi="Times New Roman Bold"/>
                <w:sz w:val="20"/>
              </w:rPr>
              <w:t>YEARS</w:t>
            </w:r>
          </w:p>
        </w:tc>
        <w:tc>
          <w:tcPr>
            <w:tcW w:w="4015" w:type="dxa"/>
            <w:gridSpan w:val="3"/>
            <w:tcBorders>
              <w:top w:val="single" w:sz="4" w:space="0" w:color="000000"/>
              <w:left w:val="single" w:sz="4" w:space="0" w:color="000000"/>
              <w:bottom w:val="single" w:sz="4" w:space="0" w:color="000000"/>
              <w:right w:val="single" w:sz="4" w:space="0" w:color="000000"/>
            </w:tcBorders>
            <w:shd w:val="clear" w:color="auto" w:fill="C4D79B"/>
            <w:tcMar>
              <w:top w:w="0" w:type="dxa"/>
              <w:left w:w="0" w:type="dxa"/>
              <w:bottom w:w="0" w:type="dxa"/>
              <w:right w:w="0" w:type="dxa"/>
            </w:tcMar>
            <w:vAlign w:val="bottom"/>
          </w:tcPr>
          <w:p w:rsidR="007B2875" w:rsidRDefault="00BF1DCA">
            <w:pPr>
              <w:jc w:val="center"/>
              <w:rPr>
                <w:rFonts w:ascii="Times New Roman Bold" w:hAnsi="Times New Roman Bold"/>
                <w:sz w:val="20"/>
              </w:rPr>
            </w:pPr>
            <w:r>
              <w:rPr>
                <w:rFonts w:ascii="Times New Roman Bold" w:hAnsi="Times New Roman Bold"/>
                <w:sz w:val="20"/>
              </w:rPr>
              <w:t>IAF</w:t>
            </w:r>
          </w:p>
        </w:tc>
        <w:tc>
          <w:tcPr>
            <w:tcW w:w="4016" w:type="dxa"/>
            <w:gridSpan w:val="3"/>
            <w:tcBorders>
              <w:top w:val="single" w:sz="4" w:space="0" w:color="000000"/>
              <w:left w:val="single" w:sz="4" w:space="0" w:color="000000"/>
              <w:bottom w:val="single" w:sz="4" w:space="0" w:color="000000"/>
              <w:right w:val="single" w:sz="4" w:space="0" w:color="000000"/>
            </w:tcBorders>
            <w:shd w:val="clear" w:color="auto" w:fill="C4BD97"/>
            <w:tcMar>
              <w:top w:w="0" w:type="dxa"/>
              <w:left w:w="0" w:type="dxa"/>
              <w:bottom w:w="0" w:type="dxa"/>
              <w:right w:w="0" w:type="dxa"/>
            </w:tcMar>
            <w:vAlign w:val="bottom"/>
          </w:tcPr>
          <w:p w:rsidR="007B2875" w:rsidRDefault="00BF1DCA">
            <w:pPr>
              <w:jc w:val="center"/>
              <w:rPr>
                <w:rFonts w:ascii="Times New Roman Bold" w:hAnsi="Times New Roman Bold"/>
                <w:sz w:val="20"/>
              </w:rPr>
            </w:pPr>
            <w:r>
              <w:rPr>
                <w:rFonts w:ascii="Times New Roman Bold" w:hAnsi="Times New Roman Bold"/>
                <w:sz w:val="20"/>
              </w:rPr>
              <w:t>DCFC</w:t>
            </w:r>
          </w:p>
        </w:tc>
      </w:tr>
      <w:tr w:rsidR="007B2875">
        <w:trPr>
          <w:cantSplit/>
          <w:trHeight w:val="430"/>
          <w:jc w:val="center"/>
        </w:trPr>
        <w:tc>
          <w:tcPr>
            <w:tcW w:w="1060" w:type="dxa"/>
            <w:vMerge/>
            <w:tcBorders>
              <w:top w:val="single" w:sz="8" w:space="0" w:color="000000"/>
              <w:left w:val="single" w:sz="4" w:space="0" w:color="000000"/>
              <w:bottom w:val="single" w:sz="4" w:space="0" w:color="000000"/>
              <w:right w:val="single" w:sz="4" w:space="0" w:color="000000"/>
            </w:tcBorders>
            <w:shd w:val="clear" w:color="auto" w:fill="D9D9D9"/>
            <w:tcMar>
              <w:top w:w="0" w:type="dxa"/>
              <w:left w:w="0" w:type="dxa"/>
              <w:bottom w:w="0" w:type="dxa"/>
              <w:right w:w="0" w:type="dxa"/>
            </w:tcMar>
            <w:vAlign w:val="center"/>
          </w:tcPr>
          <w:p w:rsidR="007B2875" w:rsidRDefault="007B2875">
            <w:pPr>
              <w:jc w:val="center"/>
            </w:pPr>
          </w:p>
        </w:tc>
        <w:tc>
          <w:tcPr>
            <w:tcW w:w="1565" w:type="dxa"/>
            <w:tcBorders>
              <w:top w:val="single" w:sz="4" w:space="0" w:color="000000"/>
              <w:left w:val="single" w:sz="4" w:space="0" w:color="000000"/>
              <w:bottom w:val="single" w:sz="4" w:space="0" w:color="000000"/>
              <w:right w:val="single" w:sz="4" w:space="0" w:color="000000"/>
            </w:tcBorders>
            <w:shd w:val="clear" w:color="auto" w:fill="EAF1DD"/>
            <w:tcMar>
              <w:top w:w="0" w:type="dxa"/>
              <w:left w:w="0" w:type="dxa"/>
              <w:bottom w:w="0" w:type="dxa"/>
              <w:right w:w="0" w:type="dxa"/>
            </w:tcMar>
            <w:vAlign w:val="center"/>
          </w:tcPr>
          <w:p w:rsidR="007B2875" w:rsidRDefault="00BF1DCA">
            <w:pPr>
              <w:jc w:val="center"/>
              <w:rPr>
                <w:rFonts w:ascii="Times New Roman Bold" w:hAnsi="Times New Roman Bold"/>
                <w:sz w:val="20"/>
              </w:rPr>
            </w:pPr>
            <w:r>
              <w:rPr>
                <w:rFonts w:ascii="Times New Roman Bold" w:hAnsi="Times New Roman Bold"/>
                <w:sz w:val="20"/>
              </w:rPr>
              <w:t>Deforestation (has)</w:t>
            </w:r>
          </w:p>
        </w:tc>
        <w:tc>
          <w:tcPr>
            <w:tcW w:w="1104" w:type="dxa"/>
            <w:tcBorders>
              <w:top w:val="single" w:sz="4" w:space="0" w:color="000000"/>
              <w:left w:val="single" w:sz="4" w:space="0" w:color="000000"/>
              <w:bottom w:val="single" w:sz="4" w:space="0" w:color="000000"/>
              <w:right w:val="single" w:sz="4" w:space="0" w:color="000000"/>
            </w:tcBorders>
            <w:shd w:val="clear" w:color="auto" w:fill="EAF1DD"/>
            <w:tcMar>
              <w:top w:w="0" w:type="dxa"/>
              <w:left w:w="0" w:type="dxa"/>
              <w:bottom w:w="0" w:type="dxa"/>
              <w:right w:w="0" w:type="dxa"/>
            </w:tcMar>
            <w:vAlign w:val="center"/>
          </w:tcPr>
          <w:p w:rsidR="007B2875" w:rsidRDefault="00BF1DCA">
            <w:pPr>
              <w:jc w:val="center"/>
              <w:rPr>
                <w:rFonts w:ascii="Times New Roman Bold" w:hAnsi="Times New Roman Bold"/>
                <w:sz w:val="20"/>
              </w:rPr>
            </w:pPr>
            <w:r>
              <w:rPr>
                <w:rFonts w:ascii="Times New Roman Bold" w:hAnsi="Times New Roman Bold"/>
                <w:sz w:val="20"/>
              </w:rPr>
              <w:t>tCO</w:t>
            </w:r>
            <w:r>
              <w:rPr>
                <w:rFonts w:ascii="Times New Roman Bold" w:hAnsi="Times New Roman Bold"/>
                <w:sz w:val="20"/>
                <w:vertAlign w:val="subscript"/>
              </w:rPr>
              <w:t>2</w:t>
            </w:r>
            <w:r>
              <w:rPr>
                <w:rFonts w:ascii="Times New Roman Bold" w:hAnsi="Times New Roman Bold"/>
                <w:sz w:val="20"/>
              </w:rPr>
              <w:t>e/ha*</w:t>
            </w:r>
          </w:p>
        </w:tc>
        <w:tc>
          <w:tcPr>
            <w:tcW w:w="1346" w:type="dxa"/>
            <w:tcBorders>
              <w:top w:val="single" w:sz="4" w:space="0" w:color="000000"/>
              <w:left w:val="single" w:sz="4" w:space="0" w:color="000000"/>
              <w:bottom w:val="single" w:sz="4" w:space="0" w:color="000000"/>
              <w:right w:val="single" w:sz="4" w:space="0" w:color="000000"/>
            </w:tcBorders>
            <w:shd w:val="clear" w:color="auto" w:fill="EAF1DD"/>
            <w:tcMar>
              <w:top w:w="0" w:type="dxa"/>
              <w:left w:w="0" w:type="dxa"/>
              <w:bottom w:w="0" w:type="dxa"/>
              <w:right w:w="0" w:type="dxa"/>
            </w:tcMar>
            <w:vAlign w:val="center"/>
          </w:tcPr>
          <w:p w:rsidR="007B2875" w:rsidRDefault="00BF1DCA">
            <w:pPr>
              <w:jc w:val="center"/>
              <w:rPr>
                <w:rFonts w:ascii="Times New Roman Bold" w:hAnsi="Times New Roman Bold"/>
                <w:sz w:val="20"/>
              </w:rPr>
            </w:pPr>
            <w:r>
              <w:rPr>
                <w:rFonts w:ascii="Times New Roman Bold" w:hAnsi="Times New Roman Bold"/>
                <w:sz w:val="20"/>
              </w:rPr>
              <w:t>Total tCO</w:t>
            </w:r>
            <w:r>
              <w:rPr>
                <w:rFonts w:ascii="Times New Roman Bold" w:hAnsi="Times New Roman Bold"/>
                <w:sz w:val="20"/>
                <w:vertAlign w:val="subscript"/>
              </w:rPr>
              <w:t>2</w:t>
            </w:r>
            <w:r>
              <w:rPr>
                <w:rFonts w:ascii="Times New Roman Bold" w:hAnsi="Times New Roman Bold"/>
                <w:sz w:val="20"/>
              </w:rPr>
              <w:t>e</w:t>
            </w:r>
          </w:p>
        </w:tc>
        <w:tc>
          <w:tcPr>
            <w:tcW w:w="1502" w:type="dxa"/>
            <w:tcBorders>
              <w:top w:val="single" w:sz="4" w:space="0" w:color="000000"/>
              <w:left w:val="single" w:sz="4" w:space="0" w:color="000000"/>
              <w:bottom w:val="single" w:sz="4" w:space="0" w:color="000000"/>
              <w:right w:val="single" w:sz="4" w:space="0" w:color="000000"/>
            </w:tcBorders>
            <w:shd w:val="clear" w:color="auto" w:fill="EEECE1"/>
            <w:tcMar>
              <w:top w:w="0" w:type="dxa"/>
              <w:left w:w="0" w:type="dxa"/>
              <w:bottom w:w="0" w:type="dxa"/>
              <w:right w:w="0" w:type="dxa"/>
            </w:tcMar>
            <w:vAlign w:val="center"/>
          </w:tcPr>
          <w:p w:rsidR="007B2875" w:rsidRDefault="00BF1DCA">
            <w:pPr>
              <w:jc w:val="center"/>
              <w:rPr>
                <w:rFonts w:ascii="Times New Roman Bold" w:hAnsi="Times New Roman Bold"/>
                <w:sz w:val="20"/>
              </w:rPr>
            </w:pPr>
            <w:r>
              <w:rPr>
                <w:rFonts w:ascii="Times New Roman Bold" w:hAnsi="Times New Roman Bold"/>
                <w:sz w:val="20"/>
              </w:rPr>
              <w:t>Deforestation (has)</w:t>
            </w:r>
          </w:p>
        </w:tc>
        <w:tc>
          <w:tcPr>
            <w:tcW w:w="1104" w:type="dxa"/>
            <w:tcBorders>
              <w:top w:val="single" w:sz="4" w:space="0" w:color="000000"/>
              <w:left w:val="single" w:sz="4" w:space="0" w:color="000000"/>
              <w:bottom w:val="single" w:sz="4" w:space="0" w:color="000000"/>
              <w:right w:val="single" w:sz="4" w:space="0" w:color="000000"/>
            </w:tcBorders>
            <w:shd w:val="clear" w:color="auto" w:fill="EEECE1"/>
            <w:tcMar>
              <w:top w:w="0" w:type="dxa"/>
              <w:left w:w="0" w:type="dxa"/>
              <w:bottom w:w="0" w:type="dxa"/>
              <w:right w:w="0" w:type="dxa"/>
            </w:tcMar>
            <w:vAlign w:val="center"/>
          </w:tcPr>
          <w:p w:rsidR="007B2875" w:rsidRDefault="00BF1DCA">
            <w:pPr>
              <w:jc w:val="center"/>
              <w:rPr>
                <w:rFonts w:ascii="Times New Roman Bold" w:hAnsi="Times New Roman Bold"/>
                <w:sz w:val="20"/>
              </w:rPr>
            </w:pPr>
            <w:r>
              <w:rPr>
                <w:rFonts w:ascii="Times New Roman Bold" w:hAnsi="Times New Roman Bold"/>
                <w:sz w:val="20"/>
              </w:rPr>
              <w:t>tCO</w:t>
            </w:r>
            <w:r>
              <w:rPr>
                <w:rFonts w:ascii="Times New Roman Bold" w:hAnsi="Times New Roman Bold"/>
                <w:sz w:val="20"/>
                <w:vertAlign w:val="subscript"/>
              </w:rPr>
              <w:t>2</w:t>
            </w:r>
            <w:r>
              <w:rPr>
                <w:rFonts w:ascii="Times New Roman Bold" w:hAnsi="Times New Roman Bold"/>
                <w:sz w:val="20"/>
              </w:rPr>
              <w:t>e/ha*</w:t>
            </w:r>
          </w:p>
        </w:tc>
        <w:tc>
          <w:tcPr>
            <w:tcW w:w="1410" w:type="dxa"/>
            <w:tcBorders>
              <w:top w:val="single" w:sz="4" w:space="0" w:color="000000"/>
              <w:left w:val="single" w:sz="4" w:space="0" w:color="000000"/>
              <w:bottom w:val="single" w:sz="4" w:space="0" w:color="000000"/>
              <w:right w:val="single" w:sz="4" w:space="0" w:color="000000"/>
            </w:tcBorders>
            <w:shd w:val="clear" w:color="auto" w:fill="EEECE1"/>
            <w:tcMar>
              <w:top w:w="0" w:type="dxa"/>
              <w:left w:w="0" w:type="dxa"/>
              <w:bottom w:w="0" w:type="dxa"/>
              <w:right w:w="0" w:type="dxa"/>
            </w:tcMar>
            <w:vAlign w:val="center"/>
          </w:tcPr>
          <w:p w:rsidR="007B2875" w:rsidRDefault="00BF1DCA">
            <w:pPr>
              <w:jc w:val="center"/>
              <w:rPr>
                <w:rFonts w:ascii="Times New Roman Bold" w:hAnsi="Times New Roman Bold"/>
                <w:sz w:val="20"/>
              </w:rPr>
            </w:pPr>
            <w:r>
              <w:rPr>
                <w:rFonts w:ascii="Times New Roman Bold" w:hAnsi="Times New Roman Bold"/>
                <w:sz w:val="20"/>
              </w:rPr>
              <w:t>Total tCO</w:t>
            </w:r>
            <w:r>
              <w:rPr>
                <w:rFonts w:ascii="Times New Roman Bold" w:hAnsi="Times New Roman Bold"/>
                <w:sz w:val="20"/>
                <w:vertAlign w:val="subscript"/>
              </w:rPr>
              <w:t>2</w:t>
            </w:r>
            <w:r>
              <w:rPr>
                <w:rFonts w:ascii="Times New Roman Bold" w:hAnsi="Times New Roman Bold"/>
                <w:sz w:val="20"/>
              </w:rPr>
              <w:t>e</w:t>
            </w:r>
          </w:p>
        </w:tc>
      </w:tr>
      <w:tr w:rsidR="007B2875">
        <w:trPr>
          <w:cantSplit/>
          <w:trHeight w:val="290"/>
          <w:jc w:val="center"/>
        </w:trPr>
        <w:tc>
          <w:tcPr>
            <w:tcW w:w="10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sz w:val="20"/>
              </w:rPr>
              <w:t>2011</w:t>
            </w:r>
          </w:p>
        </w:tc>
        <w:tc>
          <w:tcPr>
            <w:tcW w:w="156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sz w:val="20"/>
              </w:rPr>
              <w:t>12,017</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sz w:val="20"/>
              </w:rPr>
              <w:t>917.48</w:t>
            </w:r>
          </w:p>
        </w:tc>
        <w:tc>
          <w:tcPr>
            <w:tcW w:w="134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sz w:val="20"/>
              </w:rPr>
              <w:t>11,025,357</w:t>
            </w:r>
          </w:p>
        </w:tc>
        <w:tc>
          <w:tcPr>
            <w:tcW w:w="150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sz w:val="20"/>
              </w:rPr>
              <w:t>268,084</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sz w:val="20"/>
              </w:rPr>
              <w:t>210</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sz w:val="20"/>
              </w:rPr>
              <w:t>56,297,640</w:t>
            </w:r>
          </w:p>
        </w:tc>
      </w:tr>
      <w:tr w:rsidR="007B2875">
        <w:trPr>
          <w:cantSplit/>
          <w:trHeight w:val="290"/>
          <w:jc w:val="center"/>
        </w:trPr>
        <w:tc>
          <w:tcPr>
            <w:tcW w:w="10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sz w:val="20"/>
              </w:rPr>
              <w:t>2012</w:t>
            </w:r>
          </w:p>
        </w:tc>
        <w:tc>
          <w:tcPr>
            <w:tcW w:w="156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sz w:val="20"/>
              </w:rPr>
              <w:t>14,509</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sz w:val="20"/>
              </w:rPr>
              <w:t>917.48</w:t>
            </w:r>
          </w:p>
        </w:tc>
        <w:tc>
          <w:tcPr>
            <w:tcW w:w="134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sz w:val="20"/>
              </w:rPr>
              <w:t>13,311,717</w:t>
            </w:r>
          </w:p>
        </w:tc>
        <w:tc>
          <w:tcPr>
            <w:tcW w:w="150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sz w:val="20"/>
              </w:rPr>
              <w:t>265,000</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sz w:val="20"/>
              </w:rPr>
              <w:t>210</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sz w:val="20"/>
              </w:rPr>
              <w:t>55,650,000</w:t>
            </w:r>
          </w:p>
        </w:tc>
      </w:tr>
      <w:tr w:rsidR="007B2875">
        <w:trPr>
          <w:cantSplit/>
          <w:trHeight w:val="300"/>
          <w:jc w:val="center"/>
        </w:trPr>
        <w:tc>
          <w:tcPr>
            <w:tcW w:w="10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sz w:val="20"/>
              </w:rPr>
              <w:t>2013</w:t>
            </w:r>
          </w:p>
        </w:tc>
        <w:tc>
          <w:tcPr>
            <w:tcW w:w="156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sz w:val="20"/>
              </w:rPr>
              <w:t>17,000</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sz w:val="20"/>
              </w:rPr>
              <w:t>917.48</w:t>
            </w:r>
          </w:p>
        </w:tc>
        <w:tc>
          <w:tcPr>
            <w:tcW w:w="134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sz w:val="20"/>
              </w:rPr>
              <w:t>15,597,160</w:t>
            </w:r>
          </w:p>
        </w:tc>
        <w:tc>
          <w:tcPr>
            <w:tcW w:w="150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sz w:val="20"/>
              </w:rPr>
              <w:t>219,547</w:t>
            </w:r>
          </w:p>
        </w:tc>
        <w:tc>
          <w:tcPr>
            <w:tcW w:w="110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sz w:val="20"/>
              </w:rPr>
              <w:t>210</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sz w:val="20"/>
              </w:rPr>
              <w:t>46,104,870</w:t>
            </w:r>
          </w:p>
        </w:tc>
      </w:tr>
      <w:tr w:rsidR="007B2875">
        <w:trPr>
          <w:cantSplit/>
          <w:trHeight w:val="300"/>
          <w:jc w:val="center"/>
        </w:trPr>
        <w:tc>
          <w:tcPr>
            <w:tcW w:w="1060" w:type="dxa"/>
            <w:tcBorders>
              <w:top w:val="single" w:sz="4" w:space="0" w:color="000000"/>
              <w:left w:val="single" w:sz="4" w:space="0" w:color="000000"/>
              <w:bottom w:val="single" w:sz="4" w:space="0" w:color="000000"/>
              <w:right w:val="single" w:sz="4" w:space="0" w:color="000000"/>
            </w:tcBorders>
            <w:shd w:val="clear" w:color="auto" w:fill="BFBFBF"/>
            <w:tcMar>
              <w:top w:w="0" w:type="dxa"/>
              <w:left w:w="0" w:type="dxa"/>
              <w:bottom w:w="0" w:type="dxa"/>
              <w:right w:w="0" w:type="dxa"/>
            </w:tcMar>
            <w:vAlign w:val="center"/>
          </w:tcPr>
          <w:p w:rsidR="007B2875" w:rsidRDefault="00BF1DCA">
            <w:pPr>
              <w:jc w:val="center"/>
              <w:rPr>
                <w:rFonts w:ascii="Times New Roman Bold Italic" w:hAnsi="Times New Roman Bold Italic"/>
                <w:sz w:val="20"/>
              </w:rPr>
            </w:pPr>
            <w:r>
              <w:rPr>
                <w:rFonts w:ascii="Times New Roman Bold Italic" w:hAnsi="Times New Roman Bold Italic"/>
                <w:sz w:val="20"/>
              </w:rPr>
              <w:t>TOTAL</w:t>
            </w:r>
          </w:p>
        </w:tc>
        <w:tc>
          <w:tcPr>
            <w:tcW w:w="1565" w:type="dxa"/>
            <w:tcBorders>
              <w:top w:val="single" w:sz="4" w:space="0" w:color="000000"/>
              <w:left w:val="single" w:sz="4" w:space="0" w:color="000000"/>
              <w:bottom w:val="single" w:sz="4" w:space="0" w:color="000000"/>
              <w:right w:val="single" w:sz="4" w:space="0" w:color="000000"/>
            </w:tcBorders>
            <w:shd w:val="clear" w:color="auto" w:fill="BFBFBF"/>
            <w:tcMar>
              <w:top w:w="0" w:type="dxa"/>
              <w:left w:w="0" w:type="dxa"/>
              <w:bottom w:w="0" w:type="dxa"/>
              <w:right w:w="0" w:type="dxa"/>
            </w:tcMar>
            <w:vAlign w:val="center"/>
          </w:tcPr>
          <w:p w:rsidR="007B2875" w:rsidRDefault="00BF1DCA">
            <w:pPr>
              <w:jc w:val="center"/>
              <w:rPr>
                <w:rFonts w:ascii="Times New Roman Bold Italic" w:hAnsi="Times New Roman Bold Italic"/>
                <w:sz w:val="20"/>
              </w:rPr>
            </w:pPr>
            <w:r>
              <w:rPr>
                <w:rFonts w:ascii="Times New Roman Bold Italic" w:hAnsi="Times New Roman Bold Italic"/>
                <w:sz w:val="20"/>
              </w:rPr>
              <w:t>43,526</w:t>
            </w:r>
          </w:p>
        </w:tc>
        <w:tc>
          <w:tcPr>
            <w:tcW w:w="1104" w:type="dxa"/>
            <w:tcBorders>
              <w:top w:val="single" w:sz="4" w:space="0" w:color="000000"/>
              <w:left w:val="single" w:sz="4" w:space="0" w:color="000000"/>
              <w:bottom w:val="single" w:sz="4" w:space="0" w:color="000000"/>
              <w:right w:val="single" w:sz="4" w:space="0" w:color="000000"/>
            </w:tcBorders>
            <w:shd w:val="clear" w:color="auto" w:fill="BFBFBF"/>
            <w:tcMar>
              <w:top w:w="0" w:type="dxa"/>
              <w:left w:w="0" w:type="dxa"/>
              <w:bottom w:w="0" w:type="dxa"/>
              <w:right w:w="0" w:type="dxa"/>
            </w:tcMar>
            <w:vAlign w:val="center"/>
          </w:tcPr>
          <w:p w:rsidR="007B2875" w:rsidRDefault="007B2875">
            <w:pPr>
              <w:jc w:val="center"/>
            </w:pPr>
          </w:p>
        </w:tc>
        <w:tc>
          <w:tcPr>
            <w:tcW w:w="1346" w:type="dxa"/>
            <w:tcBorders>
              <w:top w:val="single" w:sz="4" w:space="0" w:color="000000"/>
              <w:left w:val="single" w:sz="4" w:space="0" w:color="000000"/>
              <w:bottom w:val="single" w:sz="4" w:space="0" w:color="000000"/>
              <w:right w:val="single" w:sz="4" w:space="0" w:color="000000"/>
            </w:tcBorders>
            <w:shd w:val="clear" w:color="auto" w:fill="BFBFBF"/>
            <w:tcMar>
              <w:top w:w="0" w:type="dxa"/>
              <w:left w:w="0" w:type="dxa"/>
              <w:bottom w:w="0" w:type="dxa"/>
              <w:right w:w="0" w:type="dxa"/>
            </w:tcMar>
            <w:vAlign w:val="center"/>
          </w:tcPr>
          <w:p w:rsidR="007B2875" w:rsidRDefault="00BF1DCA">
            <w:pPr>
              <w:jc w:val="center"/>
              <w:rPr>
                <w:rFonts w:ascii="Times New Roman Bold Italic" w:hAnsi="Times New Roman Bold Italic"/>
                <w:sz w:val="20"/>
              </w:rPr>
            </w:pPr>
            <w:r>
              <w:rPr>
                <w:rFonts w:ascii="Times New Roman Bold Italic" w:hAnsi="Times New Roman Bold Italic"/>
                <w:sz w:val="20"/>
              </w:rPr>
              <w:t>39,934,234</w:t>
            </w:r>
          </w:p>
        </w:tc>
        <w:tc>
          <w:tcPr>
            <w:tcW w:w="1502" w:type="dxa"/>
            <w:tcBorders>
              <w:top w:val="single" w:sz="4" w:space="0" w:color="000000"/>
              <w:left w:val="single" w:sz="4" w:space="0" w:color="000000"/>
              <w:bottom w:val="single" w:sz="4" w:space="0" w:color="000000"/>
              <w:right w:val="single" w:sz="4" w:space="0" w:color="000000"/>
            </w:tcBorders>
            <w:shd w:val="clear" w:color="auto" w:fill="BFBFBF"/>
            <w:tcMar>
              <w:top w:w="0" w:type="dxa"/>
              <w:left w:w="0" w:type="dxa"/>
              <w:bottom w:w="0" w:type="dxa"/>
              <w:right w:w="0" w:type="dxa"/>
            </w:tcMar>
            <w:vAlign w:val="center"/>
          </w:tcPr>
          <w:p w:rsidR="007B2875" w:rsidRDefault="00BF1DCA">
            <w:pPr>
              <w:jc w:val="center"/>
              <w:rPr>
                <w:rFonts w:ascii="Times New Roman Bold Italic" w:hAnsi="Times New Roman Bold Italic"/>
                <w:sz w:val="20"/>
              </w:rPr>
            </w:pPr>
            <w:r>
              <w:rPr>
                <w:rFonts w:ascii="Times New Roman Bold Italic" w:hAnsi="Times New Roman Bold Italic"/>
                <w:sz w:val="20"/>
              </w:rPr>
              <w:t>752,631</w:t>
            </w:r>
          </w:p>
        </w:tc>
        <w:tc>
          <w:tcPr>
            <w:tcW w:w="1104" w:type="dxa"/>
            <w:tcBorders>
              <w:top w:val="single" w:sz="4" w:space="0" w:color="000000"/>
              <w:left w:val="single" w:sz="4" w:space="0" w:color="000000"/>
              <w:bottom w:val="single" w:sz="4" w:space="0" w:color="000000"/>
              <w:right w:val="single" w:sz="4" w:space="0" w:color="000000"/>
            </w:tcBorders>
            <w:shd w:val="clear" w:color="auto" w:fill="BFBFBF"/>
            <w:tcMar>
              <w:top w:w="0" w:type="dxa"/>
              <w:left w:w="0" w:type="dxa"/>
              <w:bottom w:w="0" w:type="dxa"/>
              <w:right w:w="0" w:type="dxa"/>
            </w:tcMar>
            <w:vAlign w:val="center"/>
          </w:tcPr>
          <w:p w:rsidR="007B2875" w:rsidRDefault="007B2875">
            <w:pPr>
              <w:jc w:val="center"/>
            </w:pPr>
          </w:p>
        </w:tc>
        <w:tc>
          <w:tcPr>
            <w:tcW w:w="1410" w:type="dxa"/>
            <w:tcBorders>
              <w:top w:val="single" w:sz="4" w:space="0" w:color="000000"/>
              <w:left w:val="single" w:sz="4" w:space="0" w:color="000000"/>
              <w:bottom w:val="single" w:sz="4" w:space="0" w:color="000000"/>
              <w:right w:val="single" w:sz="4" w:space="0" w:color="000000"/>
            </w:tcBorders>
            <w:shd w:val="clear" w:color="auto" w:fill="BFBFBF"/>
            <w:tcMar>
              <w:top w:w="0" w:type="dxa"/>
              <w:left w:w="0" w:type="dxa"/>
              <w:bottom w:w="0" w:type="dxa"/>
              <w:right w:w="0" w:type="dxa"/>
            </w:tcMar>
            <w:vAlign w:val="center"/>
          </w:tcPr>
          <w:p w:rsidR="007B2875" w:rsidRDefault="00BF1DCA">
            <w:pPr>
              <w:jc w:val="center"/>
              <w:rPr>
                <w:rFonts w:ascii="Times New Roman Bold Italic" w:hAnsi="Times New Roman Bold Italic"/>
                <w:sz w:val="20"/>
              </w:rPr>
            </w:pPr>
            <w:r>
              <w:rPr>
                <w:rFonts w:ascii="Times New Roman Bold Italic" w:hAnsi="Times New Roman Bold Italic"/>
                <w:sz w:val="20"/>
              </w:rPr>
              <w:t>158,052,510</w:t>
            </w:r>
          </w:p>
        </w:tc>
      </w:tr>
      <w:tr w:rsidR="007B2875">
        <w:trPr>
          <w:cantSplit/>
          <w:trHeight w:val="300"/>
          <w:jc w:val="center"/>
        </w:trPr>
        <w:tc>
          <w:tcPr>
            <w:tcW w:w="9091" w:type="dxa"/>
            <w:gridSpan w:val="7"/>
            <w:tcBorders>
              <w:top w:val="single" w:sz="4" w:space="0" w:color="000000"/>
              <w:left w:val="none" w:sz="8" w:space="0" w:color="000000"/>
              <w:bottom w:val="none" w:sz="8" w:space="0" w:color="000000"/>
              <w:right w:val="none" w:sz="8" w:space="0" w:color="000000"/>
            </w:tcBorders>
            <w:shd w:val="clear" w:color="auto" w:fill="auto"/>
            <w:tcMar>
              <w:top w:w="0" w:type="dxa"/>
              <w:left w:w="0" w:type="dxa"/>
              <w:bottom w:w="0" w:type="dxa"/>
              <w:right w:w="0" w:type="dxa"/>
            </w:tcMar>
            <w:vAlign w:val="bottom"/>
          </w:tcPr>
          <w:p w:rsidR="007B2875" w:rsidRDefault="00BF1DCA">
            <w:pPr>
              <w:ind w:right="124"/>
              <w:jc w:val="center"/>
              <w:rPr>
                <w:sz w:val="16"/>
              </w:rPr>
            </w:pPr>
            <w:r>
              <w:rPr>
                <w:sz w:val="16"/>
              </w:rPr>
              <w:t xml:space="preserve">* Estimations conducted for the Paraguayan Forest Conservation Project (PFCP) -  </w:t>
            </w:r>
            <w:proofErr w:type="spellStart"/>
            <w:r>
              <w:rPr>
                <w:sz w:val="16"/>
              </w:rPr>
              <w:t>Guyra</w:t>
            </w:r>
            <w:proofErr w:type="spellEnd"/>
            <w:r>
              <w:rPr>
                <w:sz w:val="16"/>
              </w:rPr>
              <w:t xml:space="preserve"> Paraguay 2012-2013</w:t>
            </w:r>
          </w:p>
        </w:tc>
      </w:tr>
    </w:tbl>
    <w:p w:rsidR="007B2875" w:rsidRDefault="007B2875">
      <w:pPr>
        <w:pStyle w:val="FreeForm"/>
        <w:jc w:val="center"/>
        <w:rPr>
          <w:sz w:val="22"/>
        </w:rPr>
      </w:pPr>
    </w:p>
    <w:p w:rsidR="007B2875" w:rsidRDefault="007B2875">
      <w:pPr>
        <w:pStyle w:val="FreeFormA"/>
        <w:jc w:val="center"/>
        <w:rPr>
          <w:sz w:val="22"/>
        </w:rPr>
      </w:pPr>
    </w:p>
    <w:p w:rsidR="007B2875" w:rsidRDefault="007B2875">
      <w:pPr>
        <w:pStyle w:val="ListParagraph"/>
        <w:tabs>
          <w:tab w:val="left" w:pos="810"/>
        </w:tabs>
        <w:spacing w:after="120"/>
        <w:rPr>
          <w:rFonts w:ascii="Times New Roman" w:hAnsi="Times New Roman"/>
        </w:rPr>
      </w:pPr>
    </w:p>
    <w:tbl>
      <w:tblPr>
        <w:tblW w:w="0" w:type="auto"/>
        <w:jc w:val="center"/>
        <w:tblLayout w:type="fixed"/>
        <w:tblLook w:val="0000"/>
      </w:tblPr>
      <w:tblGrid>
        <w:gridCol w:w="1138"/>
        <w:gridCol w:w="1679"/>
        <w:gridCol w:w="1372"/>
        <w:gridCol w:w="1004"/>
        <w:gridCol w:w="1608"/>
      </w:tblGrid>
      <w:tr w:rsidR="007B2875">
        <w:trPr>
          <w:cantSplit/>
          <w:trHeight w:val="280"/>
          <w:jc w:val="center"/>
        </w:trPr>
        <w:tc>
          <w:tcPr>
            <w:tcW w:w="6801" w:type="dxa"/>
            <w:gridSpan w:val="5"/>
            <w:tcBorders>
              <w:top w:val="none" w:sz="8" w:space="0" w:color="000000"/>
              <w:left w:val="none" w:sz="8" w:space="0" w:color="000000"/>
              <w:bottom w:val="single" w:sz="4" w:space="0" w:color="000000"/>
              <w:right w:val="none" w:sz="8"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rFonts w:ascii="Times New Roman Bold" w:hAnsi="Times New Roman Bold"/>
                <w:sz w:val="20"/>
              </w:rPr>
              <w:t>Table 3:</w:t>
            </w:r>
            <w:r>
              <w:rPr>
                <w:sz w:val="20"/>
              </w:rPr>
              <w:t xml:space="preserve"> Potential CO</w:t>
            </w:r>
            <w:r>
              <w:rPr>
                <w:sz w:val="20"/>
                <w:vertAlign w:val="subscript"/>
              </w:rPr>
              <w:t>2</w:t>
            </w:r>
            <w:r>
              <w:rPr>
                <w:sz w:val="20"/>
              </w:rPr>
              <w:t xml:space="preserve"> emissions in the IAF and DCFC in the next 15 years</w:t>
            </w:r>
          </w:p>
        </w:tc>
      </w:tr>
      <w:tr w:rsidR="007B2875">
        <w:trPr>
          <w:cantSplit/>
          <w:trHeight w:val="660"/>
          <w:jc w:val="center"/>
        </w:trPr>
        <w:tc>
          <w:tcPr>
            <w:tcW w:w="1138" w:type="dxa"/>
            <w:tcBorders>
              <w:top w:val="single" w:sz="4" w:space="0" w:color="000000"/>
              <w:left w:val="single" w:sz="4" w:space="0" w:color="000000"/>
              <w:bottom w:val="single" w:sz="4" w:space="0" w:color="000000"/>
              <w:right w:val="single" w:sz="4" w:space="0" w:color="000000"/>
            </w:tcBorders>
            <w:shd w:val="clear" w:color="auto" w:fill="D9D9D9"/>
            <w:tcMar>
              <w:top w:w="0" w:type="dxa"/>
              <w:left w:w="0" w:type="dxa"/>
              <w:bottom w:w="0" w:type="dxa"/>
              <w:right w:w="0" w:type="dxa"/>
            </w:tcMar>
            <w:vAlign w:val="center"/>
          </w:tcPr>
          <w:p w:rsidR="007B2875" w:rsidRDefault="00BF1DCA">
            <w:pPr>
              <w:jc w:val="center"/>
              <w:rPr>
                <w:rFonts w:ascii="Times New Roman Bold" w:hAnsi="Times New Roman Bold"/>
                <w:sz w:val="20"/>
              </w:rPr>
            </w:pPr>
            <w:r>
              <w:rPr>
                <w:rFonts w:ascii="Times New Roman Bold" w:hAnsi="Times New Roman Bold"/>
                <w:sz w:val="20"/>
              </w:rPr>
              <w:t>Forest Type</w:t>
            </w:r>
          </w:p>
        </w:tc>
        <w:tc>
          <w:tcPr>
            <w:tcW w:w="1679" w:type="dxa"/>
            <w:tcBorders>
              <w:top w:val="single" w:sz="4" w:space="0" w:color="000000"/>
              <w:left w:val="single" w:sz="4" w:space="0" w:color="000000"/>
              <w:bottom w:val="single" w:sz="4" w:space="0" w:color="000000"/>
              <w:right w:val="single" w:sz="4" w:space="0" w:color="000000"/>
            </w:tcBorders>
            <w:shd w:val="clear" w:color="auto" w:fill="D9D9D9"/>
            <w:tcMar>
              <w:top w:w="0" w:type="dxa"/>
              <w:left w:w="0" w:type="dxa"/>
              <w:bottom w:w="0" w:type="dxa"/>
              <w:right w:w="0" w:type="dxa"/>
            </w:tcMar>
            <w:vAlign w:val="center"/>
          </w:tcPr>
          <w:p w:rsidR="007B2875" w:rsidRDefault="00BF1DCA">
            <w:pPr>
              <w:jc w:val="center"/>
              <w:rPr>
                <w:rFonts w:ascii="Times New Roman Bold" w:hAnsi="Times New Roman Bold"/>
                <w:sz w:val="20"/>
              </w:rPr>
            </w:pPr>
            <w:r>
              <w:rPr>
                <w:rFonts w:ascii="Times New Roman Bold" w:hAnsi="Times New Roman Bold"/>
                <w:sz w:val="20"/>
              </w:rPr>
              <w:t>Remaining today (has) outside protected areas</w:t>
            </w:r>
          </w:p>
        </w:tc>
        <w:tc>
          <w:tcPr>
            <w:tcW w:w="1372" w:type="dxa"/>
            <w:tcBorders>
              <w:top w:val="single" w:sz="4" w:space="0" w:color="000000"/>
              <w:left w:val="single" w:sz="4" w:space="0" w:color="000000"/>
              <w:bottom w:val="single" w:sz="4" w:space="0" w:color="000000"/>
              <w:right w:val="single" w:sz="4" w:space="0" w:color="000000"/>
            </w:tcBorders>
            <w:shd w:val="clear" w:color="auto" w:fill="D9D9D9"/>
            <w:tcMar>
              <w:top w:w="0" w:type="dxa"/>
              <w:left w:w="0" w:type="dxa"/>
              <w:bottom w:w="0" w:type="dxa"/>
              <w:right w:w="0" w:type="dxa"/>
            </w:tcMar>
            <w:vAlign w:val="center"/>
          </w:tcPr>
          <w:p w:rsidR="007B2875" w:rsidRDefault="00BF1DCA">
            <w:pPr>
              <w:jc w:val="center"/>
              <w:rPr>
                <w:rFonts w:ascii="Times New Roman Bold" w:hAnsi="Times New Roman Bold"/>
                <w:sz w:val="20"/>
              </w:rPr>
            </w:pPr>
            <w:r>
              <w:rPr>
                <w:rFonts w:ascii="Times New Roman Bold" w:hAnsi="Times New Roman Bold"/>
                <w:sz w:val="20"/>
              </w:rPr>
              <w:t>Available for Deforestation</w:t>
            </w:r>
          </w:p>
          <w:p w:rsidR="007B2875" w:rsidRDefault="00BF1DCA">
            <w:pPr>
              <w:jc w:val="center"/>
              <w:rPr>
                <w:rFonts w:ascii="Times New Roman Bold" w:hAnsi="Times New Roman Bold"/>
                <w:sz w:val="20"/>
              </w:rPr>
            </w:pPr>
            <w:r>
              <w:rPr>
                <w:rFonts w:ascii="Times New Roman Bold" w:hAnsi="Times New Roman Bold"/>
                <w:sz w:val="20"/>
              </w:rPr>
              <w:t>(has)**</w:t>
            </w:r>
          </w:p>
        </w:tc>
        <w:tc>
          <w:tcPr>
            <w:tcW w:w="1004" w:type="dxa"/>
            <w:tcBorders>
              <w:top w:val="single" w:sz="4" w:space="0" w:color="000000"/>
              <w:left w:val="single" w:sz="4" w:space="0" w:color="000000"/>
              <w:bottom w:val="single" w:sz="4" w:space="0" w:color="000000"/>
              <w:right w:val="single" w:sz="4" w:space="0" w:color="000000"/>
            </w:tcBorders>
            <w:shd w:val="clear" w:color="auto" w:fill="D9D9D9"/>
            <w:tcMar>
              <w:top w:w="0" w:type="dxa"/>
              <w:left w:w="0" w:type="dxa"/>
              <w:bottom w:w="0" w:type="dxa"/>
              <w:right w:w="0" w:type="dxa"/>
            </w:tcMar>
            <w:vAlign w:val="center"/>
          </w:tcPr>
          <w:p w:rsidR="007B2875" w:rsidRDefault="00BF1DCA">
            <w:pPr>
              <w:jc w:val="center"/>
              <w:rPr>
                <w:rFonts w:ascii="Times New Roman Bold" w:hAnsi="Times New Roman Bold"/>
                <w:sz w:val="20"/>
              </w:rPr>
            </w:pPr>
            <w:r>
              <w:rPr>
                <w:rFonts w:ascii="Times New Roman Bold" w:hAnsi="Times New Roman Bold"/>
                <w:sz w:val="20"/>
              </w:rPr>
              <w:t>tCO</w:t>
            </w:r>
            <w:r>
              <w:rPr>
                <w:rFonts w:ascii="Times New Roman Bold" w:hAnsi="Times New Roman Bold"/>
                <w:sz w:val="20"/>
                <w:vertAlign w:val="subscript"/>
              </w:rPr>
              <w:t>2</w:t>
            </w:r>
            <w:r>
              <w:rPr>
                <w:rFonts w:ascii="Times New Roman Bold" w:hAnsi="Times New Roman Bold"/>
                <w:sz w:val="20"/>
              </w:rPr>
              <w:t>e/ha</w:t>
            </w:r>
          </w:p>
        </w:tc>
        <w:tc>
          <w:tcPr>
            <w:tcW w:w="1607" w:type="dxa"/>
            <w:tcBorders>
              <w:top w:val="single" w:sz="4" w:space="0" w:color="000000"/>
              <w:left w:val="single" w:sz="4" w:space="0" w:color="000000"/>
              <w:bottom w:val="single" w:sz="4" w:space="0" w:color="000000"/>
              <w:right w:val="single" w:sz="4" w:space="0" w:color="000000"/>
            </w:tcBorders>
            <w:shd w:val="clear" w:color="auto" w:fill="D9D9D9"/>
            <w:tcMar>
              <w:top w:w="0" w:type="dxa"/>
              <w:left w:w="0" w:type="dxa"/>
              <w:bottom w:w="0" w:type="dxa"/>
              <w:right w:w="0" w:type="dxa"/>
            </w:tcMar>
            <w:vAlign w:val="center"/>
          </w:tcPr>
          <w:p w:rsidR="007B2875" w:rsidRDefault="00BF1DCA">
            <w:pPr>
              <w:jc w:val="center"/>
              <w:rPr>
                <w:rFonts w:ascii="Times New Roman Bold" w:hAnsi="Times New Roman Bold"/>
                <w:sz w:val="20"/>
              </w:rPr>
            </w:pPr>
            <w:r>
              <w:rPr>
                <w:rFonts w:ascii="Times New Roman Bold" w:hAnsi="Times New Roman Bold"/>
                <w:sz w:val="20"/>
              </w:rPr>
              <w:t>Total Potential tCO</w:t>
            </w:r>
            <w:r>
              <w:rPr>
                <w:rFonts w:ascii="Times New Roman Bold" w:hAnsi="Times New Roman Bold"/>
                <w:sz w:val="20"/>
                <w:vertAlign w:val="subscript"/>
              </w:rPr>
              <w:t>2</w:t>
            </w:r>
            <w:r>
              <w:rPr>
                <w:rFonts w:ascii="Times New Roman Bold" w:hAnsi="Times New Roman Bold"/>
                <w:sz w:val="20"/>
              </w:rPr>
              <w:t>e</w:t>
            </w:r>
          </w:p>
        </w:tc>
      </w:tr>
      <w:tr w:rsidR="007B2875">
        <w:trPr>
          <w:cantSplit/>
          <w:trHeight w:val="290"/>
          <w:jc w:val="center"/>
        </w:trPr>
        <w:tc>
          <w:tcPr>
            <w:tcW w:w="1138" w:type="dxa"/>
            <w:tcBorders>
              <w:top w:val="single" w:sz="4" w:space="0" w:color="000000"/>
              <w:left w:val="single" w:sz="4" w:space="0" w:color="000000"/>
              <w:bottom w:val="single" w:sz="4" w:space="0" w:color="000000"/>
              <w:right w:val="single" w:sz="4" w:space="0" w:color="000000"/>
            </w:tcBorders>
            <w:shd w:val="clear" w:color="auto" w:fill="D6E3BC"/>
            <w:tcMar>
              <w:top w:w="0" w:type="dxa"/>
              <w:left w:w="0" w:type="dxa"/>
              <w:bottom w:w="0" w:type="dxa"/>
              <w:right w:w="0" w:type="dxa"/>
            </w:tcMar>
            <w:vAlign w:val="center"/>
          </w:tcPr>
          <w:p w:rsidR="007B2875" w:rsidRDefault="00BF1DCA">
            <w:pPr>
              <w:jc w:val="center"/>
              <w:rPr>
                <w:rFonts w:ascii="Times New Roman Bold" w:hAnsi="Times New Roman Bold"/>
                <w:sz w:val="20"/>
              </w:rPr>
            </w:pPr>
            <w:r>
              <w:rPr>
                <w:rFonts w:ascii="Times New Roman Bold" w:hAnsi="Times New Roman Bold"/>
                <w:sz w:val="20"/>
              </w:rPr>
              <w:t>IAF</w:t>
            </w:r>
          </w:p>
        </w:tc>
        <w:tc>
          <w:tcPr>
            <w:tcW w:w="167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right"/>
              <w:rPr>
                <w:sz w:val="20"/>
              </w:rPr>
            </w:pPr>
            <w:r>
              <w:rPr>
                <w:sz w:val="20"/>
              </w:rPr>
              <w:t>500,000</w:t>
            </w:r>
          </w:p>
        </w:tc>
        <w:tc>
          <w:tcPr>
            <w:tcW w:w="137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right"/>
              <w:rPr>
                <w:sz w:val="20"/>
              </w:rPr>
            </w:pPr>
            <w:r>
              <w:rPr>
                <w:sz w:val="20"/>
              </w:rPr>
              <w:t>375,000</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right"/>
              <w:rPr>
                <w:sz w:val="20"/>
              </w:rPr>
            </w:pPr>
            <w:r>
              <w:rPr>
                <w:sz w:val="20"/>
              </w:rPr>
              <w:t>917.48</w:t>
            </w:r>
          </w:p>
        </w:tc>
        <w:tc>
          <w:tcPr>
            <w:tcW w:w="160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right"/>
              <w:rPr>
                <w:sz w:val="20"/>
              </w:rPr>
            </w:pPr>
            <w:r>
              <w:rPr>
                <w:sz w:val="20"/>
              </w:rPr>
              <w:t>344,055,000</w:t>
            </w:r>
          </w:p>
        </w:tc>
      </w:tr>
      <w:tr w:rsidR="007B2875">
        <w:trPr>
          <w:cantSplit/>
          <w:trHeight w:val="290"/>
          <w:jc w:val="center"/>
        </w:trPr>
        <w:tc>
          <w:tcPr>
            <w:tcW w:w="1138" w:type="dxa"/>
            <w:tcBorders>
              <w:top w:val="single" w:sz="4" w:space="0" w:color="000000"/>
              <w:left w:val="single" w:sz="4" w:space="0" w:color="000000"/>
              <w:bottom w:val="single" w:sz="4" w:space="0" w:color="000000"/>
              <w:right w:val="single" w:sz="4" w:space="0" w:color="000000"/>
            </w:tcBorders>
            <w:shd w:val="clear" w:color="auto" w:fill="DDD9C3"/>
            <w:tcMar>
              <w:top w:w="0" w:type="dxa"/>
              <w:left w:w="0" w:type="dxa"/>
              <w:bottom w:w="0" w:type="dxa"/>
              <w:right w:w="0" w:type="dxa"/>
            </w:tcMar>
            <w:vAlign w:val="center"/>
          </w:tcPr>
          <w:p w:rsidR="007B2875" w:rsidRDefault="00BF1DCA">
            <w:pPr>
              <w:jc w:val="center"/>
              <w:rPr>
                <w:rFonts w:ascii="Times New Roman Bold" w:hAnsi="Times New Roman Bold"/>
                <w:sz w:val="20"/>
              </w:rPr>
            </w:pPr>
            <w:r>
              <w:rPr>
                <w:rFonts w:ascii="Times New Roman Bold" w:hAnsi="Times New Roman Bold"/>
                <w:sz w:val="20"/>
              </w:rPr>
              <w:t>DCFC</w:t>
            </w:r>
          </w:p>
        </w:tc>
        <w:tc>
          <w:tcPr>
            <w:tcW w:w="1679"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right"/>
              <w:rPr>
                <w:sz w:val="20"/>
              </w:rPr>
            </w:pPr>
            <w:r>
              <w:rPr>
                <w:sz w:val="20"/>
              </w:rPr>
              <w:t>14,000,000</w:t>
            </w:r>
          </w:p>
        </w:tc>
        <w:tc>
          <w:tcPr>
            <w:tcW w:w="137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right"/>
              <w:rPr>
                <w:sz w:val="20"/>
              </w:rPr>
            </w:pPr>
            <w:r>
              <w:rPr>
                <w:sz w:val="20"/>
              </w:rPr>
              <w:t>10,500,000</w:t>
            </w:r>
          </w:p>
        </w:tc>
        <w:tc>
          <w:tcPr>
            <w:tcW w:w="100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right"/>
              <w:rPr>
                <w:sz w:val="20"/>
              </w:rPr>
            </w:pPr>
            <w:r>
              <w:rPr>
                <w:sz w:val="20"/>
              </w:rPr>
              <w:t>210</w:t>
            </w:r>
          </w:p>
        </w:tc>
        <w:tc>
          <w:tcPr>
            <w:tcW w:w="1607"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right"/>
              <w:rPr>
                <w:sz w:val="20"/>
              </w:rPr>
            </w:pPr>
            <w:r>
              <w:rPr>
                <w:sz w:val="20"/>
              </w:rPr>
              <w:t>2,205,000,000</w:t>
            </w:r>
          </w:p>
        </w:tc>
      </w:tr>
      <w:tr w:rsidR="007B2875">
        <w:trPr>
          <w:cantSplit/>
          <w:trHeight w:val="300"/>
          <w:jc w:val="center"/>
        </w:trPr>
        <w:tc>
          <w:tcPr>
            <w:tcW w:w="6801" w:type="dxa"/>
            <w:gridSpan w:val="5"/>
            <w:tcBorders>
              <w:top w:val="single" w:sz="4" w:space="0" w:color="000000"/>
              <w:left w:val="none" w:sz="8" w:space="0" w:color="000000"/>
              <w:bottom w:val="none" w:sz="8" w:space="0" w:color="000000"/>
              <w:right w:val="none" w:sz="8" w:space="0" w:color="000000"/>
            </w:tcBorders>
            <w:shd w:val="clear" w:color="auto" w:fill="auto"/>
            <w:tcMar>
              <w:top w:w="0" w:type="dxa"/>
              <w:left w:w="0" w:type="dxa"/>
              <w:bottom w:w="0" w:type="dxa"/>
              <w:right w:w="0" w:type="dxa"/>
            </w:tcMar>
            <w:vAlign w:val="center"/>
          </w:tcPr>
          <w:p w:rsidR="007B2875" w:rsidRDefault="00BF1DCA">
            <w:pPr>
              <w:jc w:val="center"/>
              <w:rPr>
                <w:sz w:val="16"/>
              </w:rPr>
            </w:pPr>
            <w:r>
              <w:rPr>
                <w:sz w:val="16"/>
              </w:rPr>
              <w:t>** Assuming that 25% will be retained to comply with current legislation</w:t>
            </w:r>
          </w:p>
        </w:tc>
      </w:tr>
    </w:tbl>
    <w:p w:rsidR="007B2875" w:rsidRDefault="007B2875">
      <w:pPr>
        <w:pStyle w:val="FreeForm"/>
        <w:jc w:val="center"/>
        <w:rPr>
          <w:sz w:val="22"/>
        </w:rPr>
      </w:pPr>
    </w:p>
    <w:p w:rsidR="007B2875" w:rsidRDefault="007B2875">
      <w:pPr>
        <w:pStyle w:val="FreeFormA"/>
        <w:jc w:val="center"/>
        <w:rPr>
          <w:sz w:val="22"/>
        </w:rPr>
      </w:pPr>
    </w:p>
    <w:p w:rsidR="007B2875" w:rsidRDefault="007B2875">
      <w:pPr>
        <w:pStyle w:val="ListParagraph"/>
        <w:tabs>
          <w:tab w:val="left" w:pos="810"/>
        </w:tabs>
        <w:spacing w:after="120"/>
        <w:rPr>
          <w:rFonts w:ascii="Times New Roman" w:hAnsi="Times New Roman"/>
        </w:rPr>
      </w:pPr>
    </w:p>
    <w:p w:rsidR="007B2875" w:rsidRDefault="00BF1DCA">
      <w:pPr>
        <w:spacing w:after="80"/>
        <w:rPr>
          <w:sz w:val="22"/>
          <w:lang w:val="en-GB"/>
        </w:rPr>
      </w:pPr>
      <w:r>
        <w:rPr>
          <w:sz w:val="22"/>
          <w:lang w:val="en-GB"/>
        </w:rPr>
        <w:t>A.1.4.3.</w:t>
      </w:r>
      <w:r>
        <w:rPr>
          <w:sz w:val="22"/>
          <w:lang w:val="en-GB"/>
        </w:rPr>
        <w:tab/>
        <w:t xml:space="preserve"> In addition to carbon storage, the DCFC offers co-benefits in a Carbon+ scheme, such as: a) unique and irreplaceable biological diversity and ecosystem services that are currently not well protected within the protected areas system; and b) the opportunity to proactively conserve and sustainably manage large tracks of relatively </w:t>
      </w:r>
      <w:proofErr w:type="spellStart"/>
      <w:r>
        <w:rPr>
          <w:sz w:val="22"/>
          <w:lang w:val="en-GB"/>
        </w:rPr>
        <w:t>unfragmented</w:t>
      </w:r>
      <w:proofErr w:type="spellEnd"/>
      <w:r>
        <w:rPr>
          <w:sz w:val="22"/>
          <w:lang w:val="en-GB"/>
        </w:rPr>
        <w:t xml:space="preserve"> native forests that still retain the structure (stock) and functions (flows) of healthy ecosystems.</w:t>
      </w:r>
    </w:p>
    <w:p w:rsidR="007B2875" w:rsidRDefault="00BF1DCA">
      <w:pPr>
        <w:spacing w:after="80"/>
        <w:rPr>
          <w:sz w:val="22"/>
          <w:lang w:val="en-GB"/>
        </w:rPr>
      </w:pPr>
      <w:r>
        <w:rPr>
          <w:sz w:val="22"/>
          <w:lang w:val="en-GB"/>
        </w:rPr>
        <w:lastRenderedPageBreak/>
        <w:t>A.1.4.4.</w:t>
      </w:r>
      <w:r>
        <w:rPr>
          <w:sz w:val="22"/>
          <w:lang w:val="en-GB"/>
        </w:rPr>
        <w:tab/>
        <w:t xml:space="preserve"> The outcomes of the project will be at least 100,000 hectares of additional natural areas with high carbon+ values set aside for conservation and sustainable management; sustainable and low carbon land-use practices to reduce GHG emissions and/or enhance carbon stock on 10,000 hectares of productive landscapes adopted; and, at least 21 million tCO2e from deforestation and forest degradation avoided.</w:t>
      </w:r>
    </w:p>
    <w:p w:rsidR="007B2875" w:rsidRDefault="00BF1DCA">
      <w:pPr>
        <w:spacing w:after="80"/>
        <w:rPr>
          <w:sz w:val="22"/>
          <w:lang w:val="en-GB"/>
        </w:rPr>
      </w:pPr>
      <w:r>
        <w:rPr>
          <w:sz w:val="22"/>
          <w:lang w:val="en-GB"/>
        </w:rPr>
        <w:t>A.1.4.5.</w:t>
      </w:r>
      <w:r>
        <w:rPr>
          <w:sz w:val="22"/>
          <w:lang w:val="en-GB"/>
        </w:rPr>
        <w:tab/>
        <w:t xml:space="preserve"> This project will finance the incremental cost and the associated activities to establish the appropriate approach to provide financial incentives to private landowners under a market based structure to: a) Retain natural forest on their landholdings additional to what is legally required (25%) and therefore avoid and reduce GHG from deforestation and land degradation; and b) Offer a premium as an incentive to set aside those parts of their forests that have exceptional value in maintaining environmental quality at a landscape level, such as areas serving as biological corridors between protected areas or helping to establish larger </w:t>
      </w:r>
      <w:proofErr w:type="spellStart"/>
      <w:r>
        <w:rPr>
          <w:sz w:val="22"/>
          <w:lang w:val="en-GB"/>
        </w:rPr>
        <w:t>unfragmented</w:t>
      </w:r>
      <w:proofErr w:type="spellEnd"/>
      <w:r>
        <w:rPr>
          <w:sz w:val="22"/>
          <w:lang w:val="en-GB"/>
        </w:rPr>
        <w:t xml:space="preserve"> forest blocks from adjacent properties, and areas identified as critical for biodiversity, environmental and cultural services, and important for climate change adaptation and resilience. The premium incentive will be applied to optimize positioning of the regulatory set-aside lands as well as any additional area set aside within a biological vision to include carbon stock and bio-cultural assets which are to be conserved in private holdings. </w:t>
      </w:r>
    </w:p>
    <w:p w:rsidR="007B2875" w:rsidRDefault="00BF1DCA">
      <w:pPr>
        <w:spacing w:after="80"/>
        <w:rPr>
          <w:sz w:val="22"/>
          <w:lang w:val="en-GB"/>
        </w:rPr>
      </w:pPr>
      <w:r>
        <w:rPr>
          <w:sz w:val="22"/>
          <w:lang w:val="en-GB"/>
        </w:rPr>
        <w:t>A.1.4.6.</w:t>
      </w:r>
      <w:r>
        <w:rPr>
          <w:sz w:val="22"/>
          <w:lang w:val="en-GB"/>
        </w:rPr>
        <w:tab/>
        <w:t xml:space="preserve"> Although Paraguay has no specific international commitments in terms of GHG emission avoidance, mitigation, or reduction, this project will help the country make progress toward a lower carbon development path, reduce its ecological footprint and prepare itself for future national or international commitments and targets. The proposed components of this project are interdependent and will be fully detailed during project preparation phase.</w:t>
      </w:r>
    </w:p>
    <w:p w:rsidR="007B2875" w:rsidRDefault="007B2875">
      <w:pPr>
        <w:spacing w:after="80"/>
        <w:rPr>
          <w:sz w:val="22"/>
          <w:lang w:val="en-GB"/>
        </w:rPr>
      </w:pPr>
    </w:p>
    <w:p w:rsidR="007B2875" w:rsidRDefault="00BF1DCA">
      <w:pPr>
        <w:spacing w:after="80"/>
        <w:rPr>
          <w:rFonts w:ascii="Times New Roman Bold" w:hAnsi="Times New Roman Bold"/>
          <w:sz w:val="22"/>
          <w:lang w:val="en-GB"/>
        </w:rPr>
      </w:pPr>
      <w:r>
        <w:rPr>
          <w:rFonts w:ascii="Times New Roman Bold" w:hAnsi="Times New Roman Bold"/>
          <w:sz w:val="22"/>
          <w:lang w:val="en-GB"/>
        </w:rPr>
        <w:t xml:space="preserve">COMPONENT 1: ESTABLISHMENT OF A PES INCENTIVE PROGRAM </w:t>
      </w:r>
    </w:p>
    <w:p w:rsidR="007B2875" w:rsidRDefault="00BF1DCA">
      <w:pPr>
        <w:spacing w:after="80"/>
        <w:rPr>
          <w:sz w:val="22"/>
          <w:lang w:val="en-GB"/>
        </w:rPr>
      </w:pPr>
      <w:r>
        <w:rPr>
          <w:sz w:val="22"/>
          <w:lang w:val="en-GB"/>
        </w:rPr>
        <w:t>A.1.4.7.</w:t>
      </w:r>
      <w:r>
        <w:rPr>
          <w:sz w:val="22"/>
          <w:lang w:val="en-GB"/>
        </w:rPr>
        <w:tab/>
        <w:t xml:space="preserve"> The project will define mechanisms to provide economic incentives to landowners to conserve priority natural areas for carbon stocks and bio-cultural services, which otherwise may be lost or degraded. Financial institutions grouped in the National Roundtable of Sustainable Finance will play the role of the financial branch of the project and eventually participate in the incentive scheme with their own financial resources. These institutions will fund practices of sustainable management to reduce emissions, acquire ESCs to be allocated in the national stock exchange market, and reinvest financial resources in the acquisition of additional certificates, as appropriate.  </w:t>
      </w:r>
    </w:p>
    <w:p w:rsidR="007B2875" w:rsidRDefault="00BF1DCA">
      <w:pPr>
        <w:spacing w:after="80"/>
        <w:rPr>
          <w:sz w:val="22"/>
          <w:lang w:val="en-GB"/>
        </w:rPr>
      </w:pPr>
      <w:r>
        <w:rPr>
          <w:sz w:val="22"/>
          <w:lang w:val="en-GB"/>
        </w:rPr>
        <w:t>A.1.4.8.</w:t>
      </w:r>
      <w:r>
        <w:rPr>
          <w:sz w:val="22"/>
          <w:lang w:val="en-GB"/>
        </w:rPr>
        <w:tab/>
        <w:t xml:space="preserve"> We propose the establishment of a PES incentive scheme because it is the most suitable mechanism for the country, given that the legal (especially Law 3001/06 and its regulations) and institutional frameworks are well developed. At the national level, the SEAM is promoting the establishment of an umbrella PES incentive scheme that will include not only REDD+ projects, but a wider range of ecosystem services beyond carbon stocks. The PES incentive program, housed within the SEAM, will allow landowners from the DCCF to participate through demand-driven or supply-driven approaches that will be enabled by the project. Legally binding agreements between the parties will be developed to approve, monitor and verify compliance with agreed upon activities and against which payments will be made. A national standard will be established following a similar protocol to Resolution 643/13 recently developed by SEAM for the payment of environmental services for grassland conservation (Grassland Conservation Index, or GCI) and a similar Index, the DCFC Conservation Index (DCFCCI) will be developed. </w:t>
      </w:r>
    </w:p>
    <w:p w:rsidR="007B2875" w:rsidRDefault="00BF1DCA">
      <w:pPr>
        <w:spacing w:after="80"/>
        <w:rPr>
          <w:sz w:val="22"/>
          <w:lang w:val="en-GB"/>
        </w:rPr>
      </w:pPr>
      <w:r>
        <w:rPr>
          <w:sz w:val="22"/>
          <w:lang w:val="en-GB"/>
        </w:rPr>
        <w:t>A.1.4.9.</w:t>
      </w:r>
      <w:r>
        <w:rPr>
          <w:sz w:val="22"/>
          <w:lang w:val="en-GB"/>
        </w:rPr>
        <w:tab/>
        <w:t xml:space="preserve"> </w:t>
      </w:r>
      <w:r>
        <w:rPr>
          <w:sz w:val="22"/>
          <w:u w:val="single"/>
          <w:lang w:val="en-GB"/>
        </w:rPr>
        <w:t>Justification for proposing a PES instead of a REDD+ scheme</w:t>
      </w:r>
      <w:r>
        <w:rPr>
          <w:sz w:val="22"/>
          <w:lang w:val="en-GB"/>
        </w:rPr>
        <w:t xml:space="preserve">: This PES project is a carbon crediting mechanism that will meet international standards and certification requirements (CCB and VCS standards), therefore will be viable at the national and international level and will take advantage of the existing voluntary carbon market. Given that the national legislation for PES schemes is fully regulated in the country, we prefer to house this project under this legal umbrella for the time being. The UN-REDD program is in the process of developing a national forest inventory pilot methodology and a National REDD Plan, but these have not yet been validated by different institutions and sectors of the Paraguayan society. Until the REDD methodology is validated and formally adopted at the country level, our project would prefer to use the current PES legal and institutional infrastructure. REDD+ mechanisms are completely incorporated into the national PES legislation. This PES scheme will closely collaborate with </w:t>
      </w:r>
      <w:r>
        <w:rPr>
          <w:sz w:val="22"/>
          <w:lang w:val="en-GB"/>
        </w:rPr>
        <w:lastRenderedPageBreak/>
        <w:t>the current UN-REDD program to actively contribute with direct on the ground experience and pilot projects that will shape the future guidelines for REDD in Paraguay.</w:t>
      </w:r>
    </w:p>
    <w:p w:rsidR="007B2875" w:rsidRDefault="00BF1DCA">
      <w:pPr>
        <w:spacing w:after="80"/>
        <w:rPr>
          <w:sz w:val="22"/>
          <w:lang w:val="en-GB"/>
        </w:rPr>
      </w:pPr>
      <w:r>
        <w:rPr>
          <w:sz w:val="22"/>
          <w:lang w:val="en-GB"/>
        </w:rPr>
        <w:t>As of now, a national REDD+ scheme in Paraguay does not exist: it is under development and unfortunately is not ready to be used by our PES project. It might take up to 2-3 additional years for Paraguay to have a fully functional National REDD+ scheme. Using Law 3001/06 as umbrella legislation, SEAM has recently made the first payments for forest services to 10 small farmers from the IAF. Our project is expected to deliver the first payments for carbon-plus in the DCFC and at the same time directly contribute, methodologically and operationally to the UN-REDD program in establishing a REDD+ scheme in the country.</w:t>
      </w:r>
    </w:p>
    <w:p w:rsidR="007B2875" w:rsidRDefault="00BF1DCA">
      <w:pPr>
        <w:spacing w:after="80"/>
        <w:rPr>
          <w:sz w:val="22"/>
          <w:lang w:val="en-GB"/>
        </w:rPr>
      </w:pPr>
      <w:r>
        <w:rPr>
          <w:sz w:val="22"/>
          <w:lang w:val="en-GB"/>
        </w:rPr>
        <w:t xml:space="preserve">A.1.4.10. </w:t>
      </w:r>
      <w:proofErr w:type="gramStart"/>
      <w:r>
        <w:rPr>
          <w:sz w:val="22"/>
          <w:lang w:val="en-GB"/>
        </w:rPr>
        <w:t>The</w:t>
      </w:r>
      <w:proofErr w:type="gramEnd"/>
      <w:r>
        <w:rPr>
          <w:sz w:val="22"/>
          <w:lang w:val="en-GB"/>
        </w:rPr>
        <w:t xml:space="preserve"> financial architecture of the overall PES scheme, including the incentive amount to be offered to landowners, will be developed and estimated during the project preparation (PPG) phase. The baseline incentive, the direct payment for the carbon+ maintained in the landowner’s property, will be primarily assessed based on the estimated foregone revenue or opportunity cost of agricultural production, mainly livestock production in the DCFC. We will also explore additional or indirect incentives, such as commodity certification schemes and access to new and more profitable markets.</w:t>
      </w:r>
    </w:p>
    <w:p w:rsidR="007B2875" w:rsidRDefault="00BF1DCA">
      <w:pPr>
        <w:spacing w:after="80"/>
        <w:rPr>
          <w:sz w:val="22"/>
          <w:lang w:val="en-GB"/>
        </w:rPr>
      </w:pPr>
      <w:r>
        <w:rPr>
          <w:sz w:val="22"/>
          <w:lang w:val="en-GB"/>
        </w:rPr>
        <w:t>A.1.4.11. Agreements with landowners will also support the implementation of sustainable management practices in productive landscapes that reduce GHG emission. Both types of agreements will have a lifespan similar to the project with the possibility of extension depending on funding availability.</w:t>
      </w:r>
    </w:p>
    <w:p w:rsidR="007B2875" w:rsidRDefault="00BF1DCA">
      <w:pPr>
        <w:spacing w:after="80"/>
        <w:rPr>
          <w:sz w:val="22"/>
          <w:lang w:val="en-GB"/>
        </w:rPr>
      </w:pPr>
      <w:r>
        <w:rPr>
          <w:sz w:val="22"/>
          <w:lang w:val="en-GB"/>
        </w:rPr>
        <w:t xml:space="preserve">A.1.4.12. It is important to mention here that even before the beginning of this project, </w:t>
      </w:r>
      <w:proofErr w:type="spellStart"/>
      <w:r>
        <w:rPr>
          <w:sz w:val="22"/>
          <w:lang w:val="en-GB"/>
        </w:rPr>
        <w:t>Guyra</w:t>
      </w:r>
      <w:proofErr w:type="spellEnd"/>
      <w:r>
        <w:rPr>
          <w:sz w:val="22"/>
          <w:lang w:val="en-GB"/>
        </w:rPr>
        <w:t xml:space="preserve"> Paraguay along with the Paraguayan Ranchers Association, the Livestock Fund, and the National Agrarian Reform Institute have identified at least 10 ranchers in the DCFC, whose combined landholdings total nearly 60,000 hectares, that are interested in participating in this PES scheme.</w:t>
      </w:r>
    </w:p>
    <w:p w:rsidR="007B2875" w:rsidRDefault="00BF1DCA">
      <w:pPr>
        <w:spacing w:after="80"/>
        <w:rPr>
          <w:sz w:val="22"/>
          <w:lang w:val="en-GB"/>
        </w:rPr>
      </w:pPr>
      <w:r>
        <w:rPr>
          <w:sz w:val="22"/>
          <w:lang w:val="en-GB"/>
        </w:rPr>
        <w:t xml:space="preserve">A.1.4.13. </w:t>
      </w:r>
      <w:proofErr w:type="gramStart"/>
      <w:r>
        <w:rPr>
          <w:sz w:val="22"/>
          <w:lang w:val="en-GB"/>
        </w:rPr>
        <w:t>The</w:t>
      </w:r>
      <w:proofErr w:type="gramEnd"/>
      <w:r>
        <w:rPr>
          <w:sz w:val="22"/>
          <w:lang w:val="en-GB"/>
        </w:rPr>
        <w:t xml:space="preserve"> project will offer private and public land holders payments that will be more attractive and less risky to invest in forest preservation. </w:t>
      </w:r>
      <w:proofErr w:type="spellStart"/>
      <w:r>
        <w:rPr>
          <w:sz w:val="22"/>
          <w:lang w:val="en-GB"/>
        </w:rPr>
        <w:t>Guyra</w:t>
      </w:r>
      <w:proofErr w:type="spellEnd"/>
      <w:r>
        <w:rPr>
          <w:sz w:val="22"/>
          <w:lang w:val="en-GB"/>
        </w:rPr>
        <w:t xml:space="preserve"> Paraguay has successful experience with this after acquiring a property in the Chaco region with the endorsement of the National Agrarian Reform Institute (INDERT). The property was removed from the development market and inserted into the trade-off scheme after the application of a methodology to locate properties of important carbon stock and with important features for its cultural and biological aspects at risk of being transformed from forest to ranching.  </w:t>
      </w:r>
    </w:p>
    <w:p w:rsidR="007B2875" w:rsidRDefault="00BF1DCA">
      <w:pPr>
        <w:spacing w:after="80"/>
        <w:rPr>
          <w:sz w:val="22"/>
          <w:lang w:val="en-GB"/>
        </w:rPr>
      </w:pPr>
      <w:r>
        <w:rPr>
          <w:sz w:val="22"/>
          <w:lang w:val="en-GB"/>
        </w:rPr>
        <w:t xml:space="preserve">A.1.4.14. </w:t>
      </w:r>
      <w:proofErr w:type="gramStart"/>
      <w:r>
        <w:rPr>
          <w:sz w:val="22"/>
          <w:lang w:val="en-GB"/>
        </w:rPr>
        <w:t>This</w:t>
      </w:r>
      <w:proofErr w:type="gramEnd"/>
      <w:r>
        <w:rPr>
          <w:sz w:val="22"/>
          <w:lang w:val="en-GB"/>
        </w:rPr>
        <w:t xml:space="preserve"> project will not directly address the demand for land due to foreign investments. It will, however, develop a model that capitalizes on the existing legislation to provide land owners in the Chaco region with an economic incentive to preserve forest cover and convert less land to cattle production, some of which may be funded by foreign investment. It will work with landowners to conserve native forests in their lands that goes beyond the legal requirements (avoid deforestation and CO2 emissions) and help create larger and more continuous blocks of conserved/managed forests in the landscape that retain crucial environmental services. The size of the project will limit the extent of forests to be put under the PES scheme, but it is the intention of the government to significantly scale up this project to cover a larger area of the DCFC.</w:t>
      </w:r>
    </w:p>
    <w:p w:rsidR="007B2875" w:rsidRDefault="007B2875">
      <w:pPr>
        <w:spacing w:after="80"/>
        <w:rPr>
          <w:sz w:val="22"/>
          <w:lang w:val="en-GB"/>
        </w:rPr>
      </w:pPr>
    </w:p>
    <w:p w:rsidR="007B2875" w:rsidRDefault="00BF1DCA">
      <w:pPr>
        <w:spacing w:after="80"/>
        <w:rPr>
          <w:rFonts w:ascii="Times New Roman Bold" w:hAnsi="Times New Roman Bold"/>
          <w:sz w:val="22"/>
          <w:lang w:val="en-GB"/>
        </w:rPr>
      </w:pPr>
      <w:r>
        <w:rPr>
          <w:rFonts w:ascii="Times New Roman Bold" w:hAnsi="Times New Roman Bold"/>
          <w:sz w:val="22"/>
          <w:lang w:val="en-GB"/>
        </w:rPr>
        <w:t>COMPONENT 2: DEVELOPMENT OF FIELD ASSESSMENTS, FOREST CARBON+ CERTIFICATION AND MONITORING MECHANISMS</w:t>
      </w:r>
    </w:p>
    <w:p w:rsidR="007B2875" w:rsidRDefault="00BF1DCA">
      <w:pPr>
        <w:spacing w:after="80"/>
        <w:rPr>
          <w:sz w:val="22"/>
          <w:lang w:val="en-GB"/>
        </w:rPr>
      </w:pPr>
      <w:r>
        <w:rPr>
          <w:sz w:val="22"/>
          <w:lang w:val="en-GB"/>
        </w:rPr>
        <w:t xml:space="preserve">A.1.4.15. </w:t>
      </w:r>
      <w:proofErr w:type="gramStart"/>
      <w:r>
        <w:rPr>
          <w:sz w:val="22"/>
          <w:lang w:val="en-GB"/>
        </w:rPr>
        <w:t>This</w:t>
      </w:r>
      <w:proofErr w:type="gramEnd"/>
      <w:r>
        <w:rPr>
          <w:sz w:val="22"/>
          <w:lang w:val="en-GB"/>
        </w:rPr>
        <w:t xml:space="preserve"> component will cover all the technical aspects to justify the incentives and the premium payment explained above. The geographic scope of the project will be determined by a multi-criteria analysis, using carbon storage as the main ecosystem service, while additional ecosystem services such as biodiversity value, cultural services, and freshwater services will be considered as complementary to carbon storage. Areas with highest tree cover, a proxy for carbon stocks, will be estimated using </w:t>
      </w:r>
      <w:proofErr w:type="spellStart"/>
      <w:r>
        <w:rPr>
          <w:sz w:val="22"/>
          <w:lang w:val="en-GB"/>
        </w:rPr>
        <w:t>TreeCover</w:t>
      </w:r>
      <w:proofErr w:type="spellEnd"/>
      <w:r>
        <w:rPr>
          <w:sz w:val="22"/>
          <w:lang w:val="en-GB"/>
        </w:rPr>
        <w:t xml:space="preserve"> of the Advanced Very High Resolution Radiometer (AVHRR) space-borne sensor. For further delineation and identification of priority areas, satellite images from sources such as </w:t>
      </w:r>
      <w:proofErr w:type="spellStart"/>
      <w:r>
        <w:rPr>
          <w:sz w:val="22"/>
          <w:lang w:val="en-GB"/>
        </w:rPr>
        <w:t>Landsat</w:t>
      </w:r>
      <w:proofErr w:type="spellEnd"/>
      <w:r>
        <w:rPr>
          <w:sz w:val="22"/>
          <w:lang w:val="en-GB"/>
        </w:rPr>
        <w:t xml:space="preserve">, SPOT, </w:t>
      </w:r>
      <w:proofErr w:type="spellStart"/>
      <w:r>
        <w:rPr>
          <w:sz w:val="22"/>
          <w:lang w:val="en-GB"/>
        </w:rPr>
        <w:t>QuickBird</w:t>
      </w:r>
      <w:proofErr w:type="spellEnd"/>
      <w:r>
        <w:rPr>
          <w:sz w:val="22"/>
          <w:lang w:val="en-GB"/>
        </w:rPr>
        <w:t xml:space="preserve"> and CBERS2b HRC, and products from AVHRR-</w:t>
      </w:r>
      <w:proofErr w:type="spellStart"/>
      <w:r>
        <w:rPr>
          <w:sz w:val="22"/>
          <w:lang w:val="en-GB"/>
        </w:rPr>
        <w:t>TreeCover</w:t>
      </w:r>
      <w:proofErr w:type="spellEnd"/>
      <w:r>
        <w:rPr>
          <w:sz w:val="22"/>
          <w:lang w:val="en-GB"/>
        </w:rPr>
        <w:t xml:space="preserve"> will be used.  </w:t>
      </w:r>
    </w:p>
    <w:p w:rsidR="007B2875" w:rsidRDefault="00BF1DCA">
      <w:pPr>
        <w:spacing w:after="80"/>
        <w:rPr>
          <w:sz w:val="22"/>
          <w:lang w:val="en-GB"/>
        </w:rPr>
      </w:pPr>
      <w:r>
        <w:rPr>
          <w:sz w:val="22"/>
          <w:lang w:val="en-GB"/>
        </w:rPr>
        <w:lastRenderedPageBreak/>
        <w:t xml:space="preserve">A.1.4.16. Carbon stored in forests will be estimated using forest inventories as the primary source. These inventories will provide information on species diversity, composition and density, as well as a </w:t>
      </w:r>
      <w:proofErr w:type="spellStart"/>
      <w:r>
        <w:rPr>
          <w:sz w:val="22"/>
          <w:lang w:val="en-GB"/>
        </w:rPr>
        <w:t>dasometric</w:t>
      </w:r>
      <w:proofErr w:type="spellEnd"/>
      <w:r>
        <w:rPr>
          <w:sz w:val="22"/>
          <w:lang w:val="en-GB"/>
        </w:rPr>
        <w:t xml:space="preserve"> classification. Permanent monitoring plots will be established using guidelines developed by </w:t>
      </w:r>
      <w:proofErr w:type="spellStart"/>
      <w:r>
        <w:rPr>
          <w:sz w:val="22"/>
          <w:lang w:val="en-GB"/>
        </w:rPr>
        <w:t>Winrock</w:t>
      </w:r>
      <w:proofErr w:type="spellEnd"/>
      <w:r>
        <w:rPr>
          <w:sz w:val="22"/>
          <w:lang w:val="en-GB"/>
        </w:rPr>
        <w:t xml:space="preserve"> International. Carbon storage will be assessed in aerial arboreal biomass, root biomass by conversion factor, </w:t>
      </w:r>
      <w:proofErr w:type="spellStart"/>
      <w:r>
        <w:rPr>
          <w:sz w:val="22"/>
          <w:lang w:val="en-GB"/>
        </w:rPr>
        <w:t>necromass</w:t>
      </w:r>
      <w:proofErr w:type="spellEnd"/>
      <w:r>
        <w:rPr>
          <w:sz w:val="22"/>
          <w:lang w:val="en-GB"/>
        </w:rPr>
        <w:t xml:space="preserve">, leaf litter, and organic soil. Plots will be set up randomly in different forest types of the DCFC and the results will be used to extrapolate information to similar sites across the entire project area. Different equations will be used to estimate carbon stocks. Risk of overestimations will be controlled with </w:t>
      </w:r>
      <w:proofErr w:type="spellStart"/>
      <w:r>
        <w:rPr>
          <w:sz w:val="22"/>
          <w:lang w:val="en-GB"/>
        </w:rPr>
        <w:t>allometric</w:t>
      </w:r>
      <w:proofErr w:type="spellEnd"/>
      <w:r>
        <w:rPr>
          <w:sz w:val="22"/>
          <w:lang w:val="en-GB"/>
        </w:rPr>
        <w:t xml:space="preserve"> equations to be developed for many of the forest types as they do not currently exist.  </w:t>
      </w:r>
    </w:p>
    <w:p w:rsidR="007B2875" w:rsidRDefault="00BF1DCA">
      <w:pPr>
        <w:spacing w:after="80"/>
        <w:rPr>
          <w:sz w:val="22"/>
          <w:lang w:val="en-GB"/>
        </w:rPr>
      </w:pPr>
      <w:r>
        <w:rPr>
          <w:sz w:val="22"/>
          <w:lang w:val="en-GB"/>
        </w:rPr>
        <w:t xml:space="preserve">A.1.4.17. Areas of high carbon storage will be complemented with biodiversity and cultural value information. Key taxonomic groups for biodiversity assessment will be soil organisms (including microorganisms), flowering plants, </w:t>
      </w:r>
      <w:proofErr w:type="spellStart"/>
      <w:r>
        <w:rPr>
          <w:sz w:val="22"/>
          <w:lang w:val="en-GB"/>
        </w:rPr>
        <w:t>Diptera</w:t>
      </w:r>
      <w:proofErr w:type="spellEnd"/>
      <w:r>
        <w:rPr>
          <w:sz w:val="22"/>
          <w:lang w:val="en-GB"/>
        </w:rPr>
        <w:t xml:space="preserve"> (flies and mosquitoes), and butterflies and moths. These groups have been chosen for their key roles in ecosystem regulation (soil organisms, flowering plants), iconic status for monitoring surrogacy (butterflies, flowering plants) or their importance in a broad number of ecosystem services such as pollination or human interaction (flies and mosquitoes). Monitoring programs will be established for key taxonomic groups and local people will be trained in both identification and monitoring techniques.</w:t>
      </w:r>
    </w:p>
    <w:p w:rsidR="007B2875" w:rsidRDefault="00BF1DCA">
      <w:pPr>
        <w:spacing w:after="80"/>
        <w:rPr>
          <w:sz w:val="22"/>
          <w:lang w:val="en-GB"/>
        </w:rPr>
      </w:pPr>
      <w:r>
        <w:rPr>
          <w:sz w:val="22"/>
          <w:lang w:val="en-GB"/>
        </w:rPr>
        <w:t xml:space="preserve">A.1.4.18. Socio-economic variables will also be analyzed, such as land tenure and an evaluation of the potential relationship between carbon, land tenure and land use change. </w:t>
      </w:r>
    </w:p>
    <w:p w:rsidR="007B2875" w:rsidRDefault="00BF1DCA">
      <w:pPr>
        <w:spacing w:after="80"/>
        <w:rPr>
          <w:sz w:val="22"/>
          <w:lang w:val="en-GB"/>
        </w:rPr>
      </w:pPr>
      <w:r>
        <w:rPr>
          <w:sz w:val="22"/>
          <w:lang w:val="en-GB"/>
        </w:rPr>
        <w:t xml:space="preserve">A.1.4.19. </w:t>
      </w:r>
      <w:r>
        <w:rPr>
          <w:sz w:val="22"/>
          <w:u w:val="single"/>
          <w:lang w:val="en-GB"/>
        </w:rPr>
        <w:t>Justification for biological and cultural assessments</w:t>
      </w:r>
      <w:r>
        <w:rPr>
          <w:sz w:val="22"/>
          <w:lang w:val="en-GB"/>
        </w:rPr>
        <w:t>:</w:t>
      </w:r>
    </w:p>
    <w:p w:rsidR="007B2875" w:rsidRDefault="00BF1DCA">
      <w:pPr>
        <w:spacing w:after="80"/>
        <w:rPr>
          <w:sz w:val="22"/>
          <w:lang w:val="en-GB"/>
        </w:rPr>
      </w:pPr>
      <w:r>
        <w:rPr>
          <w:sz w:val="22"/>
          <w:lang w:val="en-GB"/>
        </w:rPr>
        <w:t xml:space="preserve">a. CCBA standards require that REDD+ projects demonstrate and monitor not only carbon but community and biodiversity elements to: a) measure net positive impacts, b) offsite impacts; and c) monitor impacts. Therefore, these assessments will be complementary to carbon stocks baselines and projections and will be conducted in parallel with carbon estimation studies (same areas), in order to </w:t>
      </w:r>
      <w:proofErr w:type="spellStart"/>
      <w:r>
        <w:rPr>
          <w:sz w:val="22"/>
          <w:lang w:val="en-GB"/>
        </w:rPr>
        <w:t>fulfill</w:t>
      </w:r>
      <w:proofErr w:type="spellEnd"/>
      <w:r>
        <w:rPr>
          <w:sz w:val="22"/>
          <w:lang w:val="en-GB"/>
        </w:rPr>
        <w:t xml:space="preserve"> international standards in this kind of REDD+ projects. </w:t>
      </w:r>
    </w:p>
    <w:p w:rsidR="007B2875" w:rsidRDefault="00BF1DCA">
      <w:pPr>
        <w:spacing w:after="80"/>
        <w:rPr>
          <w:sz w:val="22"/>
          <w:lang w:val="en-GB"/>
        </w:rPr>
      </w:pPr>
      <w:r>
        <w:rPr>
          <w:sz w:val="22"/>
          <w:lang w:val="en-GB"/>
        </w:rPr>
        <w:t xml:space="preserve">b. REDD+ schemes are expected to be created based on carbon stocks preserved and/or enhanced, while generating co-benefits (or co-impacts) in terms of biodiversity, other ecosystem services and community or cultural benefits. In our DCFC project, all areas mapped and prioritized for their carbon stocks will be also monitored for social and biological components to add complementary values for carbon (forest) conservation. </w:t>
      </w:r>
    </w:p>
    <w:p w:rsidR="007B2875" w:rsidRDefault="00BF1DCA">
      <w:pPr>
        <w:spacing w:after="80"/>
        <w:rPr>
          <w:sz w:val="22"/>
          <w:lang w:val="en-GB"/>
        </w:rPr>
      </w:pPr>
      <w:r>
        <w:rPr>
          <w:sz w:val="22"/>
          <w:lang w:val="en-GB"/>
        </w:rPr>
        <w:t>c. The Paraguay Forest Conservation Project is the first project of this kind and a pilot for the country and the region. This project has been created to protect sufficient forest demonstrably threatened with clearance to prevent the emission of 255,686 tCO2e (expressed as Voluntary Carbon Units, VCUs) into the atmosphere over a 20 year period. The protection of forest cover in the Chaco</w:t>
      </w:r>
      <w:r>
        <w:rPr>
          <w:rFonts w:ascii="Lucida Grande" w:hAnsi="Lucida Grande"/>
          <w:sz w:val="22"/>
          <w:lang w:val="en-GB"/>
        </w:rPr>
        <w:t>‐</w:t>
      </w:r>
      <w:proofErr w:type="spellStart"/>
      <w:r>
        <w:rPr>
          <w:sz w:val="22"/>
          <w:lang w:val="en-GB"/>
        </w:rPr>
        <w:t>Pantanal</w:t>
      </w:r>
      <w:proofErr w:type="spellEnd"/>
      <w:r>
        <w:rPr>
          <w:sz w:val="22"/>
          <w:lang w:val="en-GB"/>
        </w:rPr>
        <w:t xml:space="preserve"> region contributes to that target. The project is being validated against VCS standards to quantify emissions reductions from avoided planned deforestation and uses the CCB project design standards to certify that co-benefits that are being created or maintained. This project component targets the </w:t>
      </w:r>
      <w:proofErr w:type="spellStart"/>
      <w:r>
        <w:rPr>
          <w:sz w:val="22"/>
          <w:lang w:val="en-GB"/>
        </w:rPr>
        <w:t>Quebracho</w:t>
      </w:r>
      <w:proofErr w:type="spellEnd"/>
      <w:r>
        <w:rPr>
          <w:sz w:val="22"/>
          <w:lang w:val="en-GB"/>
        </w:rPr>
        <w:t xml:space="preserve"> forests of the Chaco</w:t>
      </w:r>
      <w:r>
        <w:rPr>
          <w:rFonts w:ascii="Lucida Grande" w:hAnsi="Lucida Grande"/>
          <w:sz w:val="22"/>
          <w:lang w:val="en-GB"/>
        </w:rPr>
        <w:t>‐</w:t>
      </w:r>
      <w:proofErr w:type="spellStart"/>
      <w:r>
        <w:rPr>
          <w:sz w:val="22"/>
          <w:lang w:val="en-GB"/>
        </w:rPr>
        <w:t>Pantanal</w:t>
      </w:r>
      <w:proofErr w:type="spellEnd"/>
      <w:r>
        <w:rPr>
          <w:sz w:val="22"/>
          <w:lang w:val="en-GB"/>
        </w:rPr>
        <w:t xml:space="preserve"> transition area in eastern Alto Paraguay. The area lies in the traditional territories of the </w:t>
      </w:r>
      <w:proofErr w:type="spellStart"/>
      <w:r>
        <w:rPr>
          <w:sz w:val="22"/>
          <w:lang w:val="en-GB"/>
        </w:rPr>
        <w:t>Yshir</w:t>
      </w:r>
      <w:proofErr w:type="spellEnd"/>
      <w:r>
        <w:rPr>
          <w:sz w:val="22"/>
          <w:lang w:val="en-GB"/>
        </w:rPr>
        <w:t xml:space="preserve"> People, who have expressed strong support for the initiative. International standards require that the co-benefits are demonstrated.  </w:t>
      </w:r>
    </w:p>
    <w:p w:rsidR="007B2875" w:rsidRDefault="00BF1DCA">
      <w:pPr>
        <w:spacing w:after="80"/>
        <w:rPr>
          <w:sz w:val="22"/>
          <w:lang w:val="en-GB"/>
        </w:rPr>
      </w:pPr>
      <w:r>
        <w:rPr>
          <w:sz w:val="22"/>
          <w:lang w:val="en-GB"/>
        </w:rPr>
        <w:t xml:space="preserve">A.1.4.20. </w:t>
      </w:r>
      <w:proofErr w:type="gramStart"/>
      <w:r>
        <w:rPr>
          <w:sz w:val="22"/>
          <w:lang w:val="en-GB"/>
        </w:rPr>
        <w:t>This</w:t>
      </w:r>
      <w:proofErr w:type="gramEnd"/>
      <w:r>
        <w:rPr>
          <w:sz w:val="22"/>
          <w:lang w:val="en-GB"/>
        </w:rPr>
        <w:t xml:space="preserve"> project was originally designed as a response to the increasing interest from private landowners to conserve forests in the DCFC. For instance, several ranchers from the Paraguayan Ranchers Association (</w:t>
      </w:r>
      <w:proofErr w:type="spellStart"/>
      <w:r>
        <w:rPr>
          <w:sz w:val="22"/>
          <w:lang w:val="en-GB"/>
        </w:rPr>
        <w:t>Asociación</w:t>
      </w:r>
      <w:proofErr w:type="spellEnd"/>
      <w:r>
        <w:rPr>
          <w:sz w:val="22"/>
          <w:lang w:val="en-GB"/>
        </w:rPr>
        <w:t xml:space="preserve"> Rural del Paraguay, ARP) and the Livestock Trust (</w:t>
      </w:r>
      <w:proofErr w:type="spellStart"/>
      <w:r>
        <w:rPr>
          <w:sz w:val="22"/>
          <w:lang w:val="en-GB"/>
        </w:rPr>
        <w:t>Fondo</w:t>
      </w:r>
      <w:proofErr w:type="spellEnd"/>
      <w:r>
        <w:rPr>
          <w:sz w:val="22"/>
          <w:lang w:val="en-GB"/>
        </w:rPr>
        <w:t xml:space="preserve"> </w:t>
      </w:r>
      <w:proofErr w:type="spellStart"/>
      <w:r>
        <w:rPr>
          <w:sz w:val="22"/>
          <w:lang w:val="en-GB"/>
        </w:rPr>
        <w:t>Ganadero</w:t>
      </w:r>
      <w:proofErr w:type="spellEnd"/>
      <w:r>
        <w:rPr>
          <w:sz w:val="22"/>
          <w:lang w:val="en-GB"/>
        </w:rPr>
        <w:t>) have expressed interest in conserving additional forest areas in their properties if their foregone revenues from commodity production are properly recognized and compensated through a forest conservation incentive scheme. Therefore, we estimate that there is a very high likelihood that landowners in priority areas will join the PES incentive scheme.</w:t>
      </w:r>
    </w:p>
    <w:p w:rsidR="007B2875" w:rsidRDefault="00BF1DCA">
      <w:pPr>
        <w:spacing w:after="80"/>
        <w:rPr>
          <w:sz w:val="22"/>
          <w:lang w:val="en-GB"/>
        </w:rPr>
      </w:pPr>
      <w:r>
        <w:rPr>
          <w:sz w:val="22"/>
          <w:lang w:val="en-GB"/>
        </w:rPr>
        <w:t xml:space="preserve">A.1.4.21. </w:t>
      </w:r>
      <w:proofErr w:type="gramStart"/>
      <w:r>
        <w:rPr>
          <w:sz w:val="22"/>
          <w:lang w:val="en-GB"/>
        </w:rPr>
        <w:t>The</w:t>
      </w:r>
      <w:proofErr w:type="gramEnd"/>
      <w:r>
        <w:rPr>
          <w:sz w:val="22"/>
          <w:lang w:val="en-GB"/>
        </w:rPr>
        <w:t xml:space="preserve"> certification methodology and process, including monitoring and verification protocols, will be developed during the first quarter of the implementation of the project. Given that deforestation “leakage or displacement” is a very important aspect of this type of projects, a monitoring system that </w:t>
      </w:r>
      <w:r>
        <w:rPr>
          <w:sz w:val="22"/>
          <w:lang w:val="en-GB"/>
        </w:rPr>
        <w:lastRenderedPageBreak/>
        <w:t>meet international standards to detect, estimate, and offset “leakage” for the DCFC will be designed during the project preparation phase. The Executing Agency has designed and is currently implementing a leakage monitoring system for the Paraguay Forest Conservation Project in the DCFC; therefore, the experience and lessons learned will be used for this PES incentive project.</w:t>
      </w:r>
    </w:p>
    <w:p w:rsidR="007B2875" w:rsidRDefault="007B2875">
      <w:pPr>
        <w:spacing w:after="80"/>
        <w:rPr>
          <w:sz w:val="22"/>
          <w:lang w:val="en-GB"/>
        </w:rPr>
      </w:pPr>
    </w:p>
    <w:p w:rsidR="007B2875" w:rsidRDefault="00BF1DCA">
      <w:pPr>
        <w:spacing w:after="80"/>
        <w:rPr>
          <w:rFonts w:ascii="Times New Roman Bold" w:hAnsi="Times New Roman Bold"/>
          <w:sz w:val="22"/>
          <w:lang w:val="en-GB"/>
        </w:rPr>
      </w:pPr>
      <w:r>
        <w:rPr>
          <w:rFonts w:ascii="Times New Roman Bold" w:hAnsi="Times New Roman Bold"/>
          <w:sz w:val="22"/>
          <w:lang w:val="en-GB"/>
        </w:rPr>
        <w:t xml:space="preserve">COMPONENT 3: STRENGTHENING OF INSTITUTIONAL CAPACITIES AND ESTABLISHMENT OF ENABLING CONDITIONS FOR SUCCESS. </w:t>
      </w:r>
    </w:p>
    <w:p w:rsidR="007B2875" w:rsidRDefault="00BF1DCA">
      <w:pPr>
        <w:spacing w:after="80"/>
        <w:rPr>
          <w:sz w:val="22"/>
          <w:lang w:val="en-GB"/>
        </w:rPr>
      </w:pPr>
      <w:r>
        <w:rPr>
          <w:sz w:val="22"/>
          <w:lang w:val="en-GB"/>
        </w:rPr>
        <w:t>A.1.4.22. In this component, a two-pronged approach will be implemented. The first approach will be directed at strengthening existing and building additional capacities of the institutions directly and indirectly involved in the project, including but not limited to national and local government officials and staff, local communities, landholders and CSO representatives. An initial capacity building assessment will be conducted to identify priority thematic areas, characterize target stakeholders to be trained and establish stakeholders’ knowledge baseline. Based on this assessment, capacity building programs on issues such as low carbon and SLM, PES schemes, reduction of emissions from deforestation and degradation plus (REDD+), and biodiversity (BD) conservation strategies will be designed and implemented throughout the life of the project.</w:t>
      </w:r>
    </w:p>
    <w:p w:rsidR="007B2875" w:rsidRDefault="00BF1DCA">
      <w:pPr>
        <w:spacing w:after="80"/>
        <w:rPr>
          <w:sz w:val="22"/>
          <w:lang w:val="en-GB"/>
        </w:rPr>
      </w:pPr>
      <w:r>
        <w:rPr>
          <w:sz w:val="22"/>
          <w:lang w:val="en-GB"/>
        </w:rPr>
        <w:t xml:space="preserve">A.1.4.23. </w:t>
      </w:r>
      <w:proofErr w:type="gramStart"/>
      <w:r>
        <w:rPr>
          <w:sz w:val="22"/>
          <w:lang w:val="en-GB"/>
        </w:rPr>
        <w:t>The</w:t>
      </w:r>
      <w:proofErr w:type="gramEnd"/>
      <w:r>
        <w:rPr>
          <w:sz w:val="22"/>
          <w:lang w:val="en-GB"/>
        </w:rPr>
        <w:t xml:space="preserve"> second approach will seek to begin a process to mainstreaming climate change, low carbon development, ecosystem accounting, PES schemes, SLM, and other relevant topics. into key governmental agencies, as a strategy to create the enabling environment for project success and pave the way for future integration of climate change issues into the government as a whole. Preliminarily we have identified the Ministry of Finance, Ministry of Agriculture &amp; Livestock, Ministry of Industry and Commerce, Ministry of Public Work and Communications, National Forests Institute (INFONA), National Agrarian Reform Institute (INDERT), Ministry of Planning, Public Ministry (Attorney General’s Office), and the Legislative Branch of the government as key agencies to involve in this process. An initial institutional capacity needs assessment will be conducted with these institutions.  Based on the results, capacity building programs, including but not limited to training workshops and south-south exchanges with successful regional and hemispheric </w:t>
      </w:r>
      <w:proofErr w:type="gramStart"/>
      <w:r>
        <w:rPr>
          <w:sz w:val="22"/>
          <w:lang w:val="en-GB"/>
        </w:rPr>
        <w:t>initiatives,</w:t>
      </w:r>
      <w:proofErr w:type="gramEnd"/>
      <w:r>
        <w:rPr>
          <w:sz w:val="22"/>
          <w:lang w:val="en-GB"/>
        </w:rPr>
        <w:t xml:space="preserve"> will be implemented throughout the implementation phase of the project.</w:t>
      </w:r>
    </w:p>
    <w:p w:rsidR="007B2875" w:rsidRDefault="00BF1DCA">
      <w:pPr>
        <w:spacing w:after="80"/>
        <w:rPr>
          <w:sz w:val="22"/>
          <w:lang w:val="en-GB"/>
        </w:rPr>
      </w:pPr>
      <w:r>
        <w:rPr>
          <w:sz w:val="22"/>
          <w:lang w:val="en-GB"/>
        </w:rPr>
        <w:t>A.1.4.24. Finally, a National PES Online Platform for information sharing and a marketplace for PES supply and demand where certificates can be exchanged will be developed.</w:t>
      </w:r>
    </w:p>
    <w:p w:rsidR="007B2875" w:rsidRDefault="007B2875">
      <w:pPr>
        <w:spacing w:after="80"/>
        <w:rPr>
          <w:sz w:val="22"/>
          <w:lang w:val="en-GB"/>
        </w:rPr>
      </w:pPr>
    </w:p>
    <w:p w:rsidR="007B2875" w:rsidRDefault="00BF1DCA">
      <w:pPr>
        <w:spacing w:after="80"/>
        <w:rPr>
          <w:rFonts w:ascii="Times New Roman Bold" w:hAnsi="Times New Roman Bold"/>
          <w:sz w:val="22"/>
          <w:lang w:val="en-GB"/>
        </w:rPr>
      </w:pPr>
      <w:r>
        <w:rPr>
          <w:rFonts w:ascii="Times New Roman Bold" w:hAnsi="Times New Roman Bold"/>
          <w:sz w:val="22"/>
          <w:lang w:val="en-GB"/>
        </w:rPr>
        <w:t>A.1.5.</w:t>
      </w:r>
      <w:r>
        <w:rPr>
          <w:rFonts w:ascii="Times New Roman Bold" w:hAnsi="Times New Roman Bold"/>
          <w:sz w:val="22"/>
          <w:lang w:val="en-GB"/>
        </w:rPr>
        <w:tab/>
        <w:t>INCREMENTAL COST REASONING AND EXPECTED CONTRIBUTIONS TO THE BASELINE</w:t>
      </w:r>
    </w:p>
    <w:p w:rsidR="007B2875" w:rsidRDefault="00BF1DCA">
      <w:pPr>
        <w:spacing w:after="80"/>
        <w:rPr>
          <w:sz w:val="22"/>
          <w:lang w:val="en-GB"/>
        </w:rPr>
      </w:pPr>
      <w:r>
        <w:rPr>
          <w:sz w:val="22"/>
          <w:lang w:val="en-GB"/>
        </w:rPr>
        <w:t>A.1.5.1.</w:t>
      </w:r>
      <w:r>
        <w:rPr>
          <w:sz w:val="22"/>
          <w:lang w:val="en-GB"/>
        </w:rPr>
        <w:tab/>
        <w:t xml:space="preserve"> The Government of Paraguay (</w:t>
      </w:r>
      <w:proofErr w:type="spellStart"/>
      <w:proofErr w:type="gramStart"/>
      <w:r>
        <w:rPr>
          <w:sz w:val="22"/>
          <w:lang w:val="en-GB"/>
        </w:rPr>
        <w:t>GoP</w:t>
      </w:r>
      <w:proofErr w:type="spellEnd"/>
      <w:proofErr w:type="gramEnd"/>
      <w:r>
        <w:rPr>
          <w:sz w:val="22"/>
          <w:lang w:val="en-GB"/>
        </w:rPr>
        <w:t xml:space="preserve">) has provided the legal and institutional framework to reduce deforestation rates in the DCFC. Thus, it has established a relatively robust protected area system and is successfully enforcing compliance with current environmental legislation, including the mandate to conserve 25% of natural forests in private landholdings. It is also providing environmental licenses to landowners that develop technically sound land-use change plans for the remaining 75% of their properties. Through the INFONA, the </w:t>
      </w:r>
      <w:proofErr w:type="spellStart"/>
      <w:proofErr w:type="gramStart"/>
      <w:r>
        <w:rPr>
          <w:sz w:val="22"/>
          <w:lang w:val="en-GB"/>
        </w:rPr>
        <w:t>GoP</w:t>
      </w:r>
      <w:proofErr w:type="spellEnd"/>
      <w:proofErr w:type="gramEnd"/>
      <w:r>
        <w:rPr>
          <w:sz w:val="22"/>
          <w:lang w:val="en-GB"/>
        </w:rPr>
        <w:t xml:space="preserve"> has also established the Forests Information System, which provides current and accessible information on forest issues for the entire country. </w:t>
      </w:r>
    </w:p>
    <w:p w:rsidR="007B2875" w:rsidRDefault="00BF1DCA">
      <w:pPr>
        <w:spacing w:after="80"/>
        <w:rPr>
          <w:sz w:val="22"/>
          <w:lang w:val="en-GB"/>
        </w:rPr>
      </w:pPr>
      <w:r>
        <w:rPr>
          <w:sz w:val="22"/>
          <w:lang w:val="en-GB"/>
        </w:rPr>
        <w:t>A.1.5.2.</w:t>
      </w:r>
      <w:r>
        <w:rPr>
          <w:sz w:val="22"/>
          <w:lang w:val="en-GB"/>
        </w:rPr>
        <w:tab/>
        <w:t xml:space="preserve"> Several CSO initiatives, such the Gran Chaco Deforestation and Fire Monitoring Program (</w:t>
      </w:r>
      <w:proofErr w:type="spellStart"/>
      <w:r>
        <w:rPr>
          <w:sz w:val="22"/>
          <w:lang w:val="en-GB"/>
        </w:rPr>
        <w:t>Guyrá</w:t>
      </w:r>
      <w:proofErr w:type="spellEnd"/>
      <w:r>
        <w:rPr>
          <w:sz w:val="22"/>
          <w:lang w:val="en-GB"/>
        </w:rPr>
        <w:t xml:space="preserve"> Paraguay), The Paraguay Forest Conservation Project (</w:t>
      </w:r>
      <w:proofErr w:type="spellStart"/>
      <w:r>
        <w:rPr>
          <w:sz w:val="22"/>
          <w:lang w:val="en-GB"/>
        </w:rPr>
        <w:t>Guyrá</w:t>
      </w:r>
      <w:proofErr w:type="spellEnd"/>
      <w:r>
        <w:rPr>
          <w:sz w:val="22"/>
          <w:lang w:val="en-GB"/>
        </w:rPr>
        <w:t xml:space="preserve"> Paraguay and World Land Trust), Forest and Development (Wildlife Conservation Society), and others are working to slow down the deforestation rate of the DCFC.</w:t>
      </w:r>
    </w:p>
    <w:p w:rsidR="007B2875" w:rsidRDefault="00BF1DCA">
      <w:pPr>
        <w:spacing w:after="80"/>
        <w:rPr>
          <w:sz w:val="22"/>
          <w:lang w:val="en-GB"/>
        </w:rPr>
      </w:pPr>
      <w:r>
        <w:rPr>
          <w:sz w:val="22"/>
          <w:lang w:val="en-GB"/>
        </w:rPr>
        <w:t>A.1.5.3.</w:t>
      </w:r>
      <w:r>
        <w:rPr>
          <w:sz w:val="22"/>
          <w:lang w:val="en-GB"/>
        </w:rPr>
        <w:tab/>
        <w:t xml:space="preserve"> GEF funding will provide the incremental costs needed to avoid and reduce deforestation beyond what is legally allowed in the country. In addition to the current </w:t>
      </w:r>
      <w:proofErr w:type="spellStart"/>
      <w:proofErr w:type="gramStart"/>
      <w:r>
        <w:rPr>
          <w:sz w:val="22"/>
          <w:lang w:val="en-GB"/>
        </w:rPr>
        <w:t>GoP</w:t>
      </w:r>
      <w:proofErr w:type="spellEnd"/>
      <w:proofErr w:type="gramEnd"/>
      <w:r>
        <w:rPr>
          <w:sz w:val="22"/>
          <w:lang w:val="en-GB"/>
        </w:rPr>
        <w:t xml:space="preserve"> and CSO investments, the funding will help transform current national baseline projects into an initiative of global impacts. It is estimated that the emission of additional 21 million tCO2e will be avoided with the GEF funding.</w:t>
      </w:r>
    </w:p>
    <w:p w:rsidR="007B2875" w:rsidRDefault="007B2875">
      <w:pPr>
        <w:spacing w:after="80"/>
        <w:rPr>
          <w:sz w:val="22"/>
          <w:lang w:val="en-GB"/>
        </w:rPr>
      </w:pPr>
    </w:p>
    <w:p w:rsidR="007B2875" w:rsidRDefault="00BF1DCA">
      <w:pPr>
        <w:spacing w:after="80"/>
        <w:rPr>
          <w:rFonts w:ascii="Times New Roman Bold" w:hAnsi="Times New Roman Bold"/>
          <w:sz w:val="22"/>
          <w:lang w:val="en-GB"/>
        </w:rPr>
      </w:pPr>
      <w:r>
        <w:rPr>
          <w:rFonts w:ascii="Times New Roman Bold" w:hAnsi="Times New Roman Bold"/>
          <w:sz w:val="22"/>
          <w:lang w:val="en-GB"/>
        </w:rPr>
        <w:lastRenderedPageBreak/>
        <w:t>A.1.6.</w:t>
      </w:r>
      <w:r>
        <w:rPr>
          <w:rFonts w:ascii="Times New Roman Bold" w:hAnsi="Times New Roman Bold"/>
          <w:sz w:val="22"/>
          <w:lang w:val="en-GB"/>
        </w:rPr>
        <w:tab/>
        <w:t xml:space="preserve">GLOBAL ENVIRONMENTAL BENEFITS OF THIS PROJECT </w:t>
      </w:r>
    </w:p>
    <w:p w:rsidR="007B2875" w:rsidRDefault="00BF1DCA">
      <w:pPr>
        <w:spacing w:after="80"/>
        <w:rPr>
          <w:sz w:val="22"/>
          <w:lang w:val="en-GB"/>
        </w:rPr>
      </w:pPr>
      <w:r>
        <w:rPr>
          <w:sz w:val="22"/>
          <w:lang w:val="en-GB"/>
        </w:rPr>
        <w:t>A.1.6.1.</w:t>
      </w:r>
      <w:r>
        <w:rPr>
          <w:sz w:val="22"/>
          <w:lang w:val="en-GB"/>
        </w:rPr>
        <w:tab/>
        <w:t xml:space="preserve"> This Project will implement activities which will help the </w:t>
      </w:r>
      <w:proofErr w:type="spellStart"/>
      <w:proofErr w:type="gramStart"/>
      <w:r>
        <w:rPr>
          <w:sz w:val="22"/>
          <w:lang w:val="en-GB"/>
        </w:rPr>
        <w:t>GoP</w:t>
      </w:r>
      <w:proofErr w:type="spellEnd"/>
      <w:proofErr w:type="gramEnd"/>
      <w:r>
        <w:rPr>
          <w:sz w:val="22"/>
          <w:lang w:val="en-GB"/>
        </w:rPr>
        <w:t xml:space="preserve"> reduce GHG emissions from forest deforestation and degradation in one of the most important dry forest wilderness areas of the world. </w:t>
      </w:r>
    </w:p>
    <w:p w:rsidR="007B2875" w:rsidRDefault="00BF1DCA">
      <w:pPr>
        <w:spacing w:after="80"/>
        <w:rPr>
          <w:sz w:val="22"/>
          <w:lang w:val="en-GB"/>
        </w:rPr>
      </w:pPr>
      <w:r>
        <w:rPr>
          <w:sz w:val="22"/>
          <w:lang w:val="en-GB"/>
        </w:rPr>
        <w:t>A.1.6.2.</w:t>
      </w:r>
      <w:r>
        <w:rPr>
          <w:sz w:val="22"/>
          <w:lang w:val="en-GB"/>
        </w:rPr>
        <w:tab/>
        <w:t xml:space="preserve"> One of the main outcomes of the projects is to secure the conservation of at least 100,000 ha of native forests, which will avoid the release of 21 million tCO2e (Table 4). This amount of CO2 to be avoided with the project represents 13% of the expected emissions that would happen without the project.</w:t>
      </w:r>
    </w:p>
    <w:p w:rsidR="007B2875" w:rsidRDefault="00BF1DCA">
      <w:pPr>
        <w:spacing w:after="80"/>
        <w:rPr>
          <w:sz w:val="22"/>
          <w:lang w:val="en-GB"/>
        </w:rPr>
      </w:pPr>
      <w:r>
        <w:rPr>
          <w:sz w:val="22"/>
          <w:lang w:val="en-GB"/>
        </w:rPr>
        <w:t>A.1.6.3.</w:t>
      </w:r>
      <w:r>
        <w:rPr>
          <w:sz w:val="22"/>
          <w:lang w:val="en-GB"/>
        </w:rPr>
        <w:tab/>
        <w:t xml:space="preserve"> The annual average rate of deforestation in the DCFC over the last 9 years for which information is available (2005-2013, Table 1) was 194,487 ha/year. If this rate remains the same during the 4 years of the project, it can be expected that an additional 777,949 ha will be deforested in the DCFC, representing 163,369,267 tCO2e released to the atmosphere (Table 4). The amount of CO2 to be avoided with the project represents 13% of the expected emissions that would happen without the project.</w:t>
      </w:r>
    </w:p>
    <w:p w:rsidR="007B2875" w:rsidRDefault="00BF1DCA">
      <w:pPr>
        <w:spacing w:after="80"/>
        <w:rPr>
          <w:sz w:val="22"/>
          <w:lang w:val="en-GB"/>
        </w:rPr>
      </w:pPr>
      <w:r>
        <w:rPr>
          <w:sz w:val="22"/>
          <w:lang w:val="en-GB"/>
        </w:rPr>
        <w:t>A.1.6.4.</w:t>
      </w:r>
      <w:r>
        <w:rPr>
          <w:sz w:val="22"/>
          <w:lang w:val="en-GB"/>
        </w:rPr>
        <w:tab/>
        <w:t>During the PPG phase more accurate deforestation projections and carbon estimations will be developed</w:t>
      </w:r>
    </w:p>
    <w:tbl>
      <w:tblPr>
        <w:tblW w:w="0" w:type="auto"/>
        <w:jc w:val="center"/>
        <w:tblLayout w:type="fixed"/>
        <w:tblLook w:val="0000"/>
      </w:tblPr>
      <w:tblGrid>
        <w:gridCol w:w="1951"/>
        <w:gridCol w:w="1125"/>
        <w:gridCol w:w="1085"/>
        <w:gridCol w:w="1084"/>
        <w:gridCol w:w="1322"/>
        <w:gridCol w:w="1440"/>
      </w:tblGrid>
      <w:tr w:rsidR="007B2875">
        <w:trPr>
          <w:cantSplit/>
          <w:trHeight w:val="280"/>
          <w:jc w:val="center"/>
        </w:trPr>
        <w:tc>
          <w:tcPr>
            <w:tcW w:w="8007" w:type="dxa"/>
            <w:gridSpan w:val="6"/>
            <w:tcBorders>
              <w:top w:val="none" w:sz="8" w:space="0" w:color="000000"/>
              <w:left w:val="none" w:sz="8" w:space="0" w:color="000000"/>
              <w:bottom w:val="single" w:sz="4" w:space="0" w:color="000000"/>
              <w:right w:val="none" w:sz="8" w:space="0" w:color="000000"/>
            </w:tcBorders>
            <w:shd w:val="clear" w:color="auto" w:fill="auto"/>
            <w:tcMar>
              <w:top w:w="0" w:type="dxa"/>
              <w:left w:w="0" w:type="dxa"/>
              <w:bottom w:w="0" w:type="dxa"/>
              <w:right w:w="0" w:type="dxa"/>
            </w:tcMar>
          </w:tcPr>
          <w:p w:rsidR="007B2875" w:rsidRDefault="00BF1DCA">
            <w:pPr>
              <w:jc w:val="center"/>
              <w:rPr>
                <w:sz w:val="20"/>
              </w:rPr>
            </w:pPr>
            <w:r>
              <w:rPr>
                <w:rFonts w:ascii="Times New Roman Bold" w:hAnsi="Times New Roman Bold"/>
                <w:sz w:val="20"/>
              </w:rPr>
              <w:t>Table 4:</w:t>
            </w:r>
            <w:r>
              <w:rPr>
                <w:sz w:val="20"/>
              </w:rPr>
              <w:t xml:space="preserve"> Estimation of avoided emissions</w:t>
            </w:r>
          </w:p>
        </w:tc>
      </w:tr>
      <w:tr w:rsidR="007B2875">
        <w:trPr>
          <w:cantSplit/>
          <w:trHeight w:val="440"/>
          <w:jc w:val="center"/>
        </w:trPr>
        <w:tc>
          <w:tcPr>
            <w:tcW w:w="1951" w:type="dxa"/>
            <w:tcBorders>
              <w:top w:val="single" w:sz="4" w:space="0" w:color="000000"/>
              <w:left w:val="single" w:sz="4" w:space="0" w:color="000000"/>
              <w:bottom w:val="single" w:sz="4" w:space="0" w:color="000000"/>
              <w:right w:val="single" w:sz="4" w:space="0" w:color="000000"/>
            </w:tcBorders>
            <w:shd w:val="clear" w:color="auto" w:fill="D9D9D9"/>
            <w:tcMar>
              <w:top w:w="0" w:type="dxa"/>
              <w:left w:w="0" w:type="dxa"/>
              <w:bottom w:w="0" w:type="dxa"/>
              <w:right w:w="0" w:type="dxa"/>
            </w:tcMar>
            <w:vAlign w:val="center"/>
          </w:tcPr>
          <w:p w:rsidR="007B2875" w:rsidRDefault="00BF1DCA">
            <w:pPr>
              <w:jc w:val="center"/>
              <w:rPr>
                <w:rFonts w:ascii="Times New Roman Bold" w:hAnsi="Times New Roman Bold"/>
                <w:sz w:val="20"/>
              </w:rPr>
            </w:pPr>
            <w:r>
              <w:rPr>
                <w:rFonts w:ascii="Times New Roman Bold" w:hAnsi="Times New Roman Bold"/>
                <w:sz w:val="20"/>
              </w:rPr>
              <w:t>Outcome</w:t>
            </w:r>
          </w:p>
        </w:tc>
        <w:tc>
          <w:tcPr>
            <w:tcW w:w="1125" w:type="dxa"/>
            <w:tcBorders>
              <w:top w:val="single" w:sz="4" w:space="0" w:color="000000"/>
              <w:left w:val="single" w:sz="4" w:space="0" w:color="000000"/>
              <w:bottom w:val="single" w:sz="4" w:space="0" w:color="000000"/>
              <w:right w:val="single" w:sz="4" w:space="0" w:color="000000"/>
            </w:tcBorders>
            <w:shd w:val="clear" w:color="auto" w:fill="D9D9D9"/>
            <w:tcMar>
              <w:top w:w="0" w:type="dxa"/>
              <w:left w:w="0" w:type="dxa"/>
              <w:bottom w:w="0" w:type="dxa"/>
              <w:right w:w="0" w:type="dxa"/>
            </w:tcMar>
            <w:vAlign w:val="center"/>
          </w:tcPr>
          <w:p w:rsidR="007B2875" w:rsidRDefault="00BF1DCA">
            <w:pPr>
              <w:jc w:val="center"/>
              <w:rPr>
                <w:rFonts w:ascii="Times New Roman Bold" w:hAnsi="Times New Roman Bold"/>
                <w:sz w:val="20"/>
              </w:rPr>
            </w:pPr>
            <w:r>
              <w:rPr>
                <w:rFonts w:ascii="Times New Roman Bold" w:hAnsi="Times New Roman Bold"/>
                <w:sz w:val="20"/>
              </w:rPr>
              <w:t xml:space="preserve">Area </w:t>
            </w:r>
          </w:p>
          <w:p w:rsidR="007B2875" w:rsidRDefault="00BF1DCA">
            <w:pPr>
              <w:jc w:val="center"/>
              <w:rPr>
                <w:rFonts w:ascii="Times New Roman Bold" w:hAnsi="Times New Roman Bold"/>
                <w:sz w:val="20"/>
              </w:rPr>
            </w:pPr>
            <w:r>
              <w:rPr>
                <w:rFonts w:ascii="Times New Roman Bold" w:hAnsi="Times New Roman Bold"/>
                <w:sz w:val="20"/>
              </w:rPr>
              <w:t>(ha)</w:t>
            </w:r>
          </w:p>
        </w:tc>
        <w:tc>
          <w:tcPr>
            <w:tcW w:w="1085" w:type="dxa"/>
            <w:tcBorders>
              <w:top w:val="single" w:sz="4" w:space="0" w:color="000000"/>
              <w:left w:val="single" w:sz="4" w:space="0" w:color="000000"/>
              <w:bottom w:val="single" w:sz="4" w:space="0" w:color="000000"/>
              <w:right w:val="single" w:sz="4" w:space="0" w:color="000000"/>
            </w:tcBorders>
            <w:shd w:val="clear" w:color="auto" w:fill="D9D9D9"/>
            <w:tcMar>
              <w:top w:w="0" w:type="dxa"/>
              <w:left w:w="0" w:type="dxa"/>
              <w:bottom w:w="0" w:type="dxa"/>
              <w:right w:w="0" w:type="dxa"/>
            </w:tcMar>
            <w:vAlign w:val="center"/>
          </w:tcPr>
          <w:p w:rsidR="007B2875" w:rsidRDefault="00BF1DCA">
            <w:pPr>
              <w:jc w:val="center"/>
              <w:rPr>
                <w:rFonts w:ascii="Times New Roman Bold" w:hAnsi="Times New Roman Bold"/>
                <w:sz w:val="20"/>
              </w:rPr>
            </w:pPr>
            <w:proofErr w:type="spellStart"/>
            <w:r>
              <w:rPr>
                <w:rFonts w:ascii="Times New Roman Bold" w:hAnsi="Times New Roman Bold"/>
                <w:sz w:val="20"/>
              </w:rPr>
              <w:t>tC</w:t>
            </w:r>
            <w:proofErr w:type="spellEnd"/>
            <w:r>
              <w:rPr>
                <w:rFonts w:ascii="Times New Roman Bold" w:hAnsi="Times New Roman Bold"/>
                <w:sz w:val="20"/>
              </w:rPr>
              <w:t>/ha</w:t>
            </w:r>
          </w:p>
        </w:tc>
        <w:tc>
          <w:tcPr>
            <w:tcW w:w="1084" w:type="dxa"/>
            <w:tcBorders>
              <w:top w:val="single" w:sz="4" w:space="0" w:color="000000"/>
              <w:left w:val="single" w:sz="4" w:space="0" w:color="000000"/>
              <w:bottom w:val="single" w:sz="4" w:space="0" w:color="000000"/>
              <w:right w:val="single" w:sz="4" w:space="0" w:color="000000"/>
            </w:tcBorders>
            <w:shd w:val="clear" w:color="auto" w:fill="D9D9D9"/>
            <w:tcMar>
              <w:top w:w="0" w:type="dxa"/>
              <w:left w:w="0" w:type="dxa"/>
              <w:bottom w:w="0" w:type="dxa"/>
              <w:right w:w="0" w:type="dxa"/>
            </w:tcMar>
            <w:vAlign w:val="center"/>
          </w:tcPr>
          <w:p w:rsidR="007B2875" w:rsidRDefault="00BF1DCA">
            <w:pPr>
              <w:jc w:val="center"/>
              <w:rPr>
                <w:rFonts w:ascii="Times New Roman Bold" w:hAnsi="Times New Roman Bold"/>
                <w:sz w:val="20"/>
              </w:rPr>
            </w:pPr>
            <w:r>
              <w:rPr>
                <w:rFonts w:ascii="Times New Roman Bold" w:hAnsi="Times New Roman Bold"/>
                <w:sz w:val="20"/>
              </w:rPr>
              <w:t>tCO</w:t>
            </w:r>
            <w:r>
              <w:rPr>
                <w:rFonts w:ascii="Times New Roman Bold" w:hAnsi="Times New Roman Bold"/>
                <w:sz w:val="20"/>
                <w:vertAlign w:val="subscript"/>
              </w:rPr>
              <w:t>2</w:t>
            </w:r>
            <w:r>
              <w:rPr>
                <w:rFonts w:ascii="Times New Roman Bold" w:hAnsi="Times New Roman Bold"/>
                <w:sz w:val="20"/>
              </w:rPr>
              <w:t>e/ha*</w:t>
            </w:r>
          </w:p>
        </w:tc>
        <w:tc>
          <w:tcPr>
            <w:tcW w:w="1322" w:type="dxa"/>
            <w:tcBorders>
              <w:top w:val="single" w:sz="4" w:space="0" w:color="000000"/>
              <w:left w:val="single" w:sz="4" w:space="0" w:color="000000"/>
              <w:bottom w:val="single" w:sz="4" w:space="0" w:color="000000"/>
              <w:right w:val="single" w:sz="4" w:space="0" w:color="000000"/>
            </w:tcBorders>
            <w:shd w:val="clear" w:color="auto" w:fill="D9D9D9"/>
            <w:tcMar>
              <w:top w:w="0" w:type="dxa"/>
              <w:left w:w="0" w:type="dxa"/>
              <w:bottom w:w="0" w:type="dxa"/>
              <w:right w:w="0" w:type="dxa"/>
            </w:tcMar>
            <w:vAlign w:val="center"/>
          </w:tcPr>
          <w:p w:rsidR="007B2875" w:rsidRDefault="00BF1DCA">
            <w:pPr>
              <w:jc w:val="center"/>
              <w:rPr>
                <w:rFonts w:ascii="Times New Roman Bold" w:hAnsi="Times New Roman Bold"/>
                <w:sz w:val="20"/>
              </w:rPr>
            </w:pPr>
            <w:r>
              <w:rPr>
                <w:rFonts w:ascii="Times New Roman Bold" w:hAnsi="Times New Roman Bold"/>
                <w:sz w:val="20"/>
              </w:rPr>
              <w:t xml:space="preserve">Total </w:t>
            </w:r>
            <w:proofErr w:type="spellStart"/>
            <w:r>
              <w:rPr>
                <w:rFonts w:ascii="Times New Roman Bold" w:hAnsi="Times New Roman Bold"/>
                <w:sz w:val="20"/>
              </w:rPr>
              <w:t>tC</w:t>
            </w:r>
            <w:proofErr w:type="spellEnd"/>
            <w:r>
              <w:rPr>
                <w:rFonts w:ascii="Times New Roman Bold" w:hAnsi="Times New Roman Bold"/>
                <w:sz w:val="20"/>
              </w:rPr>
              <w:t>*</w:t>
            </w:r>
          </w:p>
        </w:tc>
        <w:tc>
          <w:tcPr>
            <w:tcW w:w="1440" w:type="dxa"/>
            <w:tcBorders>
              <w:top w:val="single" w:sz="4" w:space="0" w:color="000000"/>
              <w:left w:val="single" w:sz="4" w:space="0" w:color="000000"/>
              <w:bottom w:val="single" w:sz="4" w:space="0" w:color="000000"/>
              <w:right w:val="single" w:sz="4" w:space="0" w:color="000000"/>
            </w:tcBorders>
            <w:shd w:val="clear" w:color="auto" w:fill="D9D9D9"/>
            <w:tcMar>
              <w:top w:w="0" w:type="dxa"/>
              <w:left w:w="0" w:type="dxa"/>
              <w:bottom w:w="0" w:type="dxa"/>
              <w:right w:w="0" w:type="dxa"/>
            </w:tcMar>
            <w:vAlign w:val="center"/>
          </w:tcPr>
          <w:p w:rsidR="007B2875" w:rsidRDefault="00BF1DCA">
            <w:pPr>
              <w:jc w:val="center"/>
              <w:rPr>
                <w:rFonts w:ascii="Times New Roman Bold" w:hAnsi="Times New Roman Bold"/>
                <w:sz w:val="20"/>
              </w:rPr>
            </w:pPr>
            <w:r>
              <w:rPr>
                <w:rFonts w:ascii="Times New Roman Bold" w:hAnsi="Times New Roman Bold"/>
                <w:sz w:val="20"/>
              </w:rPr>
              <w:t>Total tCO</w:t>
            </w:r>
            <w:r>
              <w:rPr>
                <w:rFonts w:ascii="Times New Roman Bold" w:hAnsi="Times New Roman Bold"/>
                <w:sz w:val="20"/>
                <w:vertAlign w:val="subscript"/>
              </w:rPr>
              <w:t>2</w:t>
            </w:r>
            <w:r>
              <w:rPr>
                <w:rFonts w:ascii="Times New Roman Bold" w:hAnsi="Times New Roman Bold"/>
                <w:sz w:val="20"/>
              </w:rPr>
              <w:t>e**</w:t>
            </w:r>
          </w:p>
        </w:tc>
      </w:tr>
      <w:tr w:rsidR="007B2875">
        <w:trPr>
          <w:cantSplit/>
          <w:trHeight w:val="660"/>
          <w:jc w:val="center"/>
        </w:trPr>
        <w:tc>
          <w:tcPr>
            <w:tcW w:w="1951" w:type="dxa"/>
            <w:tcBorders>
              <w:top w:val="single" w:sz="4" w:space="0" w:color="000000"/>
              <w:left w:val="single" w:sz="4" w:space="0" w:color="000000"/>
              <w:bottom w:val="single" w:sz="4" w:space="0" w:color="000000"/>
              <w:right w:val="single" w:sz="4" w:space="0" w:color="000000"/>
            </w:tcBorders>
            <w:shd w:val="clear" w:color="auto" w:fill="F2F2F2"/>
            <w:tcMar>
              <w:top w:w="0" w:type="dxa"/>
              <w:left w:w="0" w:type="dxa"/>
              <w:bottom w:w="0" w:type="dxa"/>
              <w:right w:w="0" w:type="dxa"/>
            </w:tcMar>
            <w:vAlign w:val="center"/>
          </w:tcPr>
          <w:p w:rsidR="007B2875" w:rsidRDefault="00BF1DCA">
            <w:pPr>
              <w:rPr>
                <w:rFonts w:ascii="Times New Roman Bold" w:hAnsi="Times New Roman Bold"/>
                <w:sz w:val="20"/>
              </w:rPr>
            </w:pPr>
            <w:r>
              <w:rPr>
                <w:rFonts w:ascii="Times New Roman Bold" w:hAnsi="Times New Roman Bold"/>
                <w:sz w:val="20"/>
              </w:rPr>
              <w:t>Estimated deforestation over life of project (BAU)</w:t>
            </w:r>
          </w:p>
        </w:tc>
        <w:tc>
          <w:tcPr>
            <w:tcW w:w="112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right"/>
              <w:rPr>
                <w:sz w:val="20"/>
              </w:rPr>
            </w:pPr>
            <w:r>
              <w:rPr>
                <w:sz w:val="20"/>
              </w:rPr>
              <w:t>777,949</w:t>
            </w:r>
          </w:p>
        </w:tc>
        <w:tc>
          <w:tcPr>
            <w:tcW w:w="108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sz w:val="20"/>
              </w:rPr>
              <w:t>50-57</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sz w:val="20"/>
              </w:rPr>
              <w:t>210</w:t>
            </w:r>
          </w:p>
        </w:tc>
        <w:tc>
          <w:tcPr>
            <w:tcW w:w="132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pPr>
            <w:r>
              <w:t>44,343,087</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pPr>
            <w:r>
              <w:t>163,369,267</w:t>
            </w:r>
          </w:p>
        </w:tc>
      </w:tr>
      <w:tr w:rsidR="007B2875">
        <w:trPr>
          <w:cantSplit/>
          <w:trHeight w:val="660"/>
          <w:jc w:val="center"/>
        </w:trPr>
        <w:tc>
          <w:tcPr>
            <w:tcW w:w="1951" w:type="dxa"/>
            <w:tcBorders>
              <w:top w:val="single" w:sz="4" w:space="0" w:color="000000"/>
              <w:left w:val="single" w:sz="4" w:space="0" w:color="000000"/>
              <w:bottom w:val="single" w:sz="4" w:space="0" w:color="000000"/>
              <w:right w:val="single" w:sz="4" w:space="0" w:color="000000"/>
            </w:tcBorders>
            <w:shd w:val="clear" w:color="auto" w:fill="F2F2F2"/>
            <w:tcMar>
              <w:top w:w="0" w:type="dxa"/>
              <w:left w:w="0" w:type="dxa"/>
              <w:bottom w:w="0" w:type="dxa"/>
              <w:right w:w="0" w:type="dxa"/>
            </w:tcMar>
            <w:vAlign w:val="center"/>
          </w:tcPr>
          <w:p w:rsidR="007B2875" w:rsidRDefault="00BF1DCA">
            <w:pPr>
              <w:rPr>
                <w:rFonts w:ascii="Times New Roman Bold" w:hAnsi="Times New Roman Bold"/>
                <w:sz w:val="20"/>
              </w:rPr>
            </w:pPr>
            <w:r>
              <w:rPr>
                <w:rFonts w:ascii="Times New Roman Bold" w:hAnsi="Times New Roman Bold"/>
                <w:sz w:val="20"/>
              </w:rPr>
              <w:t>Forested land under conservation</w:t>
            </w:r>
          </w:p>
          <w:p w:rsidR="007B2875" w:rsidRDefault="00BF1DCA">
            <w:pPr>
              <w:rPr>
                <w:rFonts w:ascii="Times New Roman Bold" w:hAnsi="Times New Roman Bold"/>
                <w:sz w:val="20"/>
              </w:rPr>
            </w:pPr>
            <w:r>
              <w:rPr>
                <w:rFonts w:ascii="Times New Roman Bold" w:hAnsi="Times New Roman Bold"/>
                <w:sz w:val="20"/>
              </w:rPr>
              <w:t>at end of project</w:t>
            </w:r>
          </w:p>
        </w:tc>
        <w:tc>
          <w:tcPr>
            <w:tcW w:w="112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right"/>
              <w:rPr>
                <w:sz w:val="20"/>
              </w:rPr>
            </w:pPr>
            <w:r>
              <w:rPr>
                <w:sz w:val="20"/>
              </w:rPr>
              <w:t>100,000</w:t>
            </w:r>
          </w:p>
        </w:tc>
        <w:tc>
          <w:tcPr>
            <w:tcW w:w="108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sz w:val="20"/>
              </w:rPr>
              <w:t>50-57</w:t>
            </w:r>
          </w:p>
        </w:tc>
        <w:tc>
          <w:tcPr>
            <w:tcW w:w="108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center"/>
              <w:rPr>
                <w:sz w:val="20"/>
              </w:rPr>
            </w:pPr>
            <w:r>
              <w:rPr>
                <w:sz w:val="20"/>
              </w:rPr>
              <w:t>210</w:t>
            </w:r>
          </w:p>
        </w:tc>
        <w:tc>
          <w:tcPr>
            <w:tcW w:w="1322"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right"/>
              <w:rPr>
                <w:sz w:val="20"/>
              </w:rPr>
            </w:pPr>
            <w:r>
              <w:rPr>
                <w:sz w:val="20"/>
              </w:rPr>
              <w:t>5,700,000</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vAlign w:val="center"/>
          </w:tcPr>
          <w:p w:rsidR="007B2875" w:rsidRDefault="00BF1DCA">
            <w:pPr>
              <w:jc w:val="right"/>
              <w:rPr>
                <w:sz w:val="20"/>
              </w:rPr>
            </w:pPr>
            <w:r>
              <w:rPr>
                <w:sz w:val="20"/>
              </w:rPr>
              <w:t>21,000,000</w:t>
            </w:r>
          </w:p>
        </w:tc>
      </w:tr>
      <w:tr w:rsidR="007B2875">
        <w:trPr>
          <w:cantSplit/>
          <w:trHeight w:val="355"/>
          <w:jc w:val="center"/>
        </w:trPr>
        <w:tc>
          <w:tcPr>
            <w:tcW w:w="8007" w:type="dxa"/>
            <w:gridSpan w:val="6"/>
            <w:tcBorders>
              <w:top w:val="single" w:sz="4" w:space="0" w:color="000000"/>
              <w:left w:val="none" w:sz="8" w:space="0" w:color="000000"/>
              <w:bottom w:val="none" w:sz="8" w:space="0" w:color="000000"/>
              <w:right w:val="none" w:sz="8" w:space="0" w:color="000000"/>
            </w:tcBorders>
            <w:shd w:val="clear" w:color="auto" w:fill="auto"/>
            <w:tcMar>
              <w:top w:w="0" w:type="dxa"/>
              <w:left w:w="0" w:type="dxa"/>
              <w:bottom w:w="0" w:type="dxa"/>
              <w:right w:w="0" w:type="dxa"/>
            </w:tcMar>
          </w:tcPr>
          <w:p w:rsidR="007B2875" w:rsidRDefault="00BF1DCA">
            <w:pPr>
              <w:ind w:right="124"/>
              <w:rPr>
                <w:sz w:val="16"/>
              </w:rPr>
            </w:pPr>
            <w:r>
              <w:rPr>
                <w:sz w:val="16"/>
              </w:rPr>
              <w:t xml:space="preserve">* Estimation conducted for the Paraguayan Forest Conservation Project (PFCP) -  </w:t>
            </w:r>
            <w:proofErr w:type="spellStart"/>
            <w:r>
              <w:rPr>
                <w:sz w:val="16"/>
              </w:rPr>
              <w:t>Guyra</w:t>
            </w:r>
            <w:proofErr w:type="spellEnd"/>
            <w:r>
              <w:rPr>
                <w:sz w:val="16"/>
              </w:rPr>
              <w:t xml:space="preserve"> Paraguay 2012-2013</w:t>
            </w:r>
          </w:p>
          <w:p w:rsidR="007B2875" w:rsidRDefault="00BF1DCA">
            <w:pPr>
              <w:ind w:right="124"/>
              <w:rPr>
                <w:sz w:val="16"/>
              </w:rPr>
            </w:pPr>
            <w:r>
              <w:rPr>
                <w:sz w:val="16"/>
              </w:rPr>
              <w:t>**Carbon content post deforestation and carbon from new land use are not taken into consideration</w:t>
            </w:r>
          </w:p>
        </w:tc>
      </w:tr>
    </w:tbl>
    <w:p w:rsidR="007B2875" w:rsidRDefault="007B2875">
      <w:pPr>
        <w:pStyle w:val="FreeForm"/>
        <w:jc w:val="center"/>
        <w:rPr>
          <w:sz w:val="22"/>
          <w:lang w:val="en-GB"/>
        </w:rPr>
      </w:pPr>
    </w:p>
    <w:p w:rsidR="007B2875" w:rsidRDefault="007B2875">
      <w:pPr>
        <w:pStyle w:val="FreeFormA"/>
        <w:jc w:val="center"/>
        <w:rPr>
          <w:sz w:val="22"/>
          <w:lang w:val="en-GB"/>
        </w:rPr>
      </w:pPr>
    </w:p>
    <w:p w:rsidR="007B2875" w:rsidRDefault="007B2875">
      <w:pPr>
        <w:rPr>
          <w:u w:val="single"/>
        </w:rPr>
      </w:pPr>
    </w:p>
    <w:p w:rsidR="007B2875" w:rsidRDefault="00BF1DCA">
      <w:pPr>
        <w:tabs>
          <w:tab w:val="left" w:pos="810"/>
        </w:tabs>
        <w:spacing w:after="80"/>
        <w:rPr>
          <w:sz w:val="22"/>
          <w:lang w:val="en-GB"/>
        </w:rPr>
      </w:pPr>
      <w:r>
        <w:rPr>
          <w:sz w:val="22"/>
          <w:lang w:val="en-GB"/>
        </w:rPr>
        <w:t xml:space="preserve">A.1.6.5. </w:t>
      </w:r>
      <w:r>
        <w:rPr>
          <w:sz w:val="22"/>
          <w:lang w:val="en-GB"/>
        </w:rPr>
        <w:tab/>
        <w:t xml:space="preserve">In addition, the project aims at securing 10,000 ha of productive landscapes under sustainable land use practices to reduce GHG emissions and/or enhance carbon stock. As an example, </w:t>
      </w:r>
      <w:proofErr w:type="spellStart"/>
      <w:r>
        <w:rPr>
          <w:sz w:val="22"/>
          <w:lang w:val="en-GB"/>
        </w:rPr>
        <w:t>Guyra</w:t>
      </w:r>
      <w:proofErr w:type="spellEnd"/>
      <w:r>
        <w:rPr>
          <w:sz w:val="22"/>
          <w:lang w:val="en-GB"/>
        </w:rPr>
        <w:t xml:space="preserve"> Paraguay has estimated that native Chaco forests enriched with species of drought resistant </w:t>
      </w:r>
      <w:proofErr w:type="spellStart"/>
      <w:r>
        <w:rPr>
          <w:sz w:val="22"/>
          <w:lang w:val="en-GB"/>
        </w:rPr>
        <w:t>prosopis</w:t>
      </w:r>
      <w:proofErr w:type="spellEnd"/>
      <w:r>
        <w:rPr>
          <w:sz w:val="22"/>
          <w:lang w:val="en-GB"/>
        </w:rPr>
        <w:t xml:space="preserve"> (</w:t>
      </w:r>
      <w:proofErr w:type="spellStart"/>
      <w:r>
        <w:rPr>
          <w:sz w:val="22"/>
          <w:lang w:val="en-GB"/>
        </w:rPr>
        <w:t>Prosopis</w:t>
      </w:r>
      <w:proofErr w:type="spellEnd"/>
      <w:r>
        <w:rPr>
          <w:sz w:val="22"/>
          <w:lang w:val="en-GB"/>
        </w:rPr>
        <w:t xml:space="preserve"> </w:t>
      </w:r>
      <w:proofErr w:type="spellStart"/>
      <w:r>
        <w:rPr>
          <w:sz w:val="22"/>
          <w:lang w:val="en-GB"/>
        </w:rPr>
        <w:t>nigra</w:t>
      </w:r>
      <w:proofErr w:type="spellEnd"/>
      <w:r>
        <w:rPr>
          <w:sz w:val="22"/>
          <w:lang w:val="en-GB"/>
        </w:rPr>
        <w:t xml:space="preserve"> and </w:t>
      </w:r>
      <w:proofErr w:type="spellStart"/>
      <w:r>
        <w:rPr>
          <w:sz w:val="22"/>
          <w:lang w:val="en-GB"/>
        </w:rPr>
        <w:t>Prosopis</w:t>
      </w:r>
      <w:proofErr w:type="spellEnd"/>
      <w:r>
        <w:rPr>
          <w:sz w:val="22"/>
          <w:lang w:val="en-GB"/>
        </w:rPr>
        <w:t xml:space="preserve"> </w:t>
      </w:r>
      <w:proofErr w:type="spellStart"/>
      <w:r>
        <w:rPr>
          <w:sz w:val="22"/>
          <w:lang w:val="en-GB"/>
        </w:rPr>
        <w:t>elata</w:t>
      </w:r>
      <w:proofErr w:type="spellEnd"/>
      <w:r>
        <w:rPr>
          <w:sz w:val="22"/>
          <w:lang w:val="en-GB"/>
        </w:rPr>
        <w:t xml:space="preserve">) can sequester up to 2 </w:t>
      </w:r>
      <w:proofErr w:type="spellStart"/>
      <w:r>
        <w:rPr>
          <w:sz w:val="22"/>
          <w:lang w:val="en-GB"/>
        </w:rPr>
        <w:t>tC</w:t>
      </w:r>
      <w:proofErr w:type="spellEnd"/>
      <w:r>
        <w:rPr>
          <w:sz w:val="22"/>
          <w:lang w:val="en-GB"/>
        </w:rPr>
        <w:t xml:space="preserve">/ha over four years, which would represent additional 20,000 </w:t>
      </w:r>
      <w:proofErr w:type="spellStart"/>
      <w:r>
        <w:rPr>
          <w:sz w:val="22"/>
          <w:lang w:val="en-GB"/>
        </w:rPr>
        <w:t>tC</w:t>
      </w:r>
      <w:proofErr w:type="spellEnd"/>
      <w:r>
        <w:rPr>
          <w:sz w:val="22"/>
          <w:lang w:val="en-GB"/>
        </w:rPr>
        <w:t xml:space="preserve"> (~73,684 tCO2e) captured by these species over the life of the project. </w:t>
      </w:r>
    </w:p>
    <w:p w:rsidR="007B2875" w:rsidRDefault="00BF1DCA">
      <w:pPr>
        <w:spacing w:after="80"/>
        <w:rPr>
          <w:sz w:val="22"/>
          <w:lang w:val="en-GB"/>
        </w:rPr>
      </w:pPr>
      <w:r>
        <w:rPr>
          <w:sz w:val="22"/>
          <w:lang w:val="en-GB"/>
        </w:rPr>
        <w:t>A.1.6.6.</w:t>
      </w:r>
      <w:r>
        <w:rPr>
          <w:sz w:val="22"/>
          <w:lang w:val="en-GB"/>
        </w:rPr>
        <w:tab/>
        <w:t xml:space="preserve"> Additionally, the project will contribute to the increased adoption of low-carbon development approaches through technology transfer, market transformation, and enabling livestock and other agricultural practices which are complementary or additional to the traditional slash-and-burn practices used to clear lands for cattle ranching.</w:t>
      </w:r>
    </w:p>
    <w:p w:rsidR="007B2875" w:rsidRDefault="00BF1DCA">
      <w:pPr>
        <w:spacing w:after="80"/>
        <w:rPr>
          <w:sz w:val="22"/>
          <w:lang w:val="en-GB"/>
        </w:rPr>
      </w:pPr>
      <w:r>
        <w:rPr>
          <w:sz w:val="22"/>
          <w:lang w:val="en-GB"/>
        </w:rPr>
        <w:t>a. In terms of technology transfer, this project will directly coordinate with the UN-REDD Program in Paraguay to share with them methodologies and lessons learned and help shape the future REDD scheme in the country. The project will also train at least 100 stakeholders in forest carbon estimation methodologies and in the design and implementation of REDD+ projects in the country.</w:t>
      </w:r>
    </w:p>
    <w:p w:rsidR="007B2875" w:rsidRDefault="00BF1DCA">
      <w:pPr>
        <w:spacing w:after="80"/>
        <w:rPr>
          <w:sz w:val="22"/>
          <w:lang w:val="en-GB"/>
        </w:rPr>
      </w:pPr>
      <w:r>
        <w:rPr>
          <w:sz w:val="22"/>
          <w:lang w:val="en-GB"/>
        </w:rPr>
        <w:t xml:space="preserve">b. Beyond the country boundaries, technology transfer can be achieved by directly coordinating activities with the </w:t>
      </w:r>
      <w:proofErr w:type="spellStart"/>
      <w:r>
        <w:rPr>
          <w:sz w:val="22"/>
          <w:lang w:val="en-GB"/>
        </w:rPr>
        <w:t>PASChaco</w:t>
      </w:r>
      <w:proofErr w:type="spellEnd"/>
      <w:r>
        <w:rPr>
          <w:sz w:val="22"/>
          <w:lang w:val="en-GB"/>
        </w:rPr>
        <w:t xml:space="preserve"> project and its stakeholders.</w:t>
      </w:r>
    </w:p>
    <w:p w:rsidR="007B2875" w:rsidRDefault="00BF1DCA">
      <w:pPr>
        <w:spacing w:after="80"/>
        <w:rPr>
          <w:sz w:val="22"/>
          <w:lang w:val="en-GB"/>
        </w:rPr>
      </w:pPr>
      <w:r>
        <w:rPr>
          <w:sz w:val="22"/>
          <w:lang w:val="en-GB"/>
        </w:rPr>
        <w:t>c. The market for REDD+ and other ecosystem services is in early stage of development in the country. This project will substantially improve the local knowledge about these markets and also set the precedent for the future development of a compensation market between the IAF and the DCFC.</w:t>
      </w:r>
    </w:p>
    <w:p w:rsidR="007B2875" w:rsidRDefault="00BF1DCA">
      <w:pPr>
        <w:spacing w:after="80"/>
        <w:rPr>
          <w:sz w:val="22"/>
          <w:lang w:val="en-GB"/>
        </w:rPr>
      </w:pPr>
      <w:r>
        <w:rPr>
          <w:sz w:val="22"/>
          <w:lang w:val="en-GB"/>
        </w:rPr>
        <w:t>A.1.6.7.</w:t>
      </w:r>
      <w:r>
        <w:rPr>
          <w:sz w:val="22"/>
          <w:lang w:val="en-GB"/>
        </w:rPr>
        <w:tab/>
        <w:t xml:space="preserve"> Besides increasing carbon sequestration, the project will generate several co-benefits of global importance including reduction of soil erosion, water conservation and storage, organic production, pollination, and avoidance of invasive species establishment. </w:t>
      </w:r>
    </w:p>
    <w:p w:rsidR="007B2875" w:rsidRDefault="00BF1DCA">
      <w:pPr>
        <w:spacing w:after="80"/>
        <w:rPr>
          <w:sz w:val="22"/>
          <w:lang w:val="en-GB"/>
        </w:rPr>
      </w:pPr>
      <w:r>
        <w:rPr>
          <w:sz w:val="22"/>
          <w:lang w:val="en-GB"/>
        </w:rPr>
        <w:t>A.1.6.8.</w:t>
      </w:r>
      <w:r>
        <w:rPr>
          <w:sz w:val="22"/>
          <w:lang w:val="en-GB"/>
        </w:rPr>
        <w:tab/>
        <w:t xml:space="preserve"> This project will be mostly implemented in the buffer and transitional areas of the UNESCO’s El Chaco Biosphere Reserve, a globally important area for its unique biodiversity, ecosystem services and </w:t>
      </w:r>
      <w:r>
        <w:rPr>
          <w:sz w:val="22"/>
          <w:lang w:val="en-GB"/>
        </w:rPr>
        <w:lastRenderedPageBreak/>
        <w:t>cultural characteristics. The project will promote the conservation of additional natural habitats, beyond the 25% established by law.</w:t>
      </w:r>
    </w:p>
    <w:p w:rsidR="007B2875" w:rsidRDefault="00BF1DCA">
      <w:pPr>
        <w:spacing w:after="80"/>
        <w:rPr>
          <w:sz w:val="22"/>
          <w:lang w:val="en-GB"/>
        </w:rPr>
      </w:pPr>
      <w:r>
        <w:rPr>
          <w:sz w:val="22"/>
          <w:lang w:val="en-GB"/>
        </w:rPr>
        <w:t>A.1.6.9.</w:t>
      </w:r>
      <w:r>
        <w:rPr>
          <w:sz w:val="22"/>
          <w:lang w:val="en-GB"/>
        </w:rPr>
        <w:tab/>
        <w:t xml:space="preserve"> The GEF investment will help conserve additional natural habitat with global biodiversity values, maintain the flow of key ecosystem services (mainly carbon) and sustainably manage landscapes that otherwise would have been lost under the BAU scenario.</w:t>
      </w:r>
    </w:p>
    <w:p w:rsidR="007B2875" w:rsidRDefault="00BF1DCA">
      <w:pPr>
        <w:spacing w:after="80"/>
        <w:rPr>
          <w:sz w:val="22"/>
          <w:lang w:val="en-GB"/>
        </w:rPr>
      </w:pPr>
      <w:r>
        <w:rPr>
          <w:sz w:val="22"/>
          <w:lang w:val="en-GB"/>
        </w:rPr>
        <w:t xml:space="preserve">A.1.6.10. By building national and local capacities and starting the process of mainstreaming climate change mitigation into the </w:t>
      </w:r>
      <w:proofErr w:type="spellStart"/>
      <w:proofErr w:type="gramStart"/>
      <w:r>
        <w:rPr>
          <w:sz w:val="22"/>
          <w:lang w:val="en-GB"/>
        </w:rPr>
        <w:t>GoP</w:t>
      </w:r>
      <w:proofErr w:type="spellEnd"/>
      <w:proofErr w:type="gramEnd"/>
      <w:r>
        <w:rPr>
          <w:sz w:val="22"/>
          <w:lang w:val="en-GB"/>
        </w:rPr>
        <w:t xml:space="preserve"> as a whole, this project is expected to decrease the overall GHG emissions of the country, not only from the DCFC but from other regions as well. </w:t>
      </w:r>
    </w:p>
    <w:p w:rsidR="007B2875" w:rsidRDefault="007B2875">
      <w:pPr>
        <w:spacing w:after="80"/>
        <w:rPr>
          <w:sz w:val="22"/>
          <w:lang w:val="en-GB"/>
        </w:rPr>
      </w:pPr>
    </w:p>
    <w:p w:rsidR="007B2875" w:rsidRDefault="00BF1DCA">
      <w:pPr>
        <w:spacing w:after="80"/>
        <w:rPr>
          <w:rFonts w:ascii="Times New Roman Bold" w:hAnsi="Times New Roman Bold"/>
          <w:sz w:val="22"/>
          <w:lang w:val="en-GB"/>
        </w:rPr>
      </w:pPr>
      <w:r>
        <w:rPr>
          <w:rFonts w:ascii="Times New Roman Bold" w:hAnsi="Times New Roman Bold"/>
          <w:sz w:val="22"/>
          <w:lang w:val="en-GB"/>
        </w:rPr>
        <w:t>A.1.7.</w:t>
      </w:r>
      <w:r>
        <w:rPr>
          <w:rFonts w:ascii="Times New Roman Bold" w:hAnsi="Times New Roman Bold"/>
          <w:sz w:val="22"/>
          <w:lang w:val="en-GB"/>
        </w:rPr>
        <w:tab/>
        <w:t>INNOVATIVENESS, SUSTAINABILITY AND POTENTIAL FOR SCALING UP</w:t>
      </w:r>
    </w:p>
    <w:p w:rsidR="007B2875" w:rsidRDefault="00BF1DCA">
      <w:pPr>
        <w:spacing w:after="80"/>
        <w:rPr>
          <w:sz w:val="22"/>
          <w:lang w:val="en-GB"/>
        </w:rPr>
      </w:pPr>
      <w:r>
        <w:rPr>
          <w:sz w:val="22"/>
          <w:lang w:val="en-GB"/>
        </w:rPr>
        <w:t xml:space="preserve">A.1.7.1. Innovativeness: the GEF funding will enable the implementation of an innovative project that seeks to combine the strengths of two approaches: a command-and-control framework (current environmental legislation) coupled with an incentive scheme (recently enacted PES legislation and the incentive mechanism from this project) to amplify their individual positive impacts and avoid/reduce deforestation in a highly threatened ecosystem, therefore contributing to the mitigation of global warming impacts. The project will also bring together economic sectors (cattle ranchers, private financial agencies, NGOs, local communities and the </w:t>
      </w:r>
      <w:proofErr w:type="spellStart"/>
      <w:r>
        <w:rPr>
          <w:sz w:val="22"/>
          <w:lang w:val="en-GB"/>
        </w:rPr>
        <w:t>GoP</w:t>
      </w:r>
      <w:proofErr w:type="spellEnd"/>
      <w:r>
        <w:rPr>
          <w:sz w:val="22"/>
          <w:lang w:val="en-GB"/>
        </w:rPr>
        <w:t xml:space="preserve">) that have traditionally not worked together to achieve an environmental outcome of national and international impact. This will be the first time that the </w:t>
      </w:r>
      <w:proofErr w:type="spellStart"/>
      <w:proofErr w:type="gramStart"/>
      <w:r>
        <w:rPr>
          <w:sz w:val="22"/>
          <w:lang w:val="en-GB"/>
        </w:rPr>
        <w:t>GoP</w:t>
      </w:r>
      <w:proofErr w:type="spellEnd"/>
      <w:proofErr w:type="gramEnd"/>
      <w:r>
        <w:rPr>
          <w:sz w:val="22"/>
          <w:lang w:val="en-GB"/>
        </w:rPr>
        <w:t xml:space="preserve"> brings together an economically powerful coalition of stakeholders for implementing PES, and the results and lessons learned will serve as a model for future initiatives in Paraguay and the region.</w:t>
      </w:r>
    </w:p>
    <w:p w:rsidR="007B2875" w:rsidRDefault="00BF1DCA">
      <w:pPr>
        <w:spacing w:after="80"/>
        <w:rPr>
          <w:sz w:val="22"/>
          <w:lang w:val="en-GB"/>
        </w:rPr>
      </w:pPr>
      <w:r>
        <w:rPr>
          <w:sz w:val="22"/>
          <w:lang w:val="en-GB"/>
        </w:rPr>
        <w:t>A.1.7.2.</w:t>
      </w:r>
      <w:r>
        <w:rPr>
          <w:sz w:val="22"/>
          <w:lang w:val="en-GB"/>
        </w:rPr>
        <w:tab/>
        <w:t xml:space="preserve"> Sustainability: through the promulgation of the recent PES legislation, the </w:t>
      </w:r>
      <w:proofErr w:type="spellStart"/>
      <w:proofErr w:type="gramStart"/>
      <w:r>
        <w:rPr>
          <w:sz w:val="22"/>
          <w:lang w:val="en-GB"/>
        </w:rPr>
        <w:t>GoP</w:t>
      </w:r>
      <w:proofErr w:type="spellEnd"/>
      <w:proofErr w:type="gramEnd"/>
      <w:r>
        <w:rPr>
          <w:sz w:val="22"/>
          <w:lang w:val="en-GB"/>
        </w:rPr>
        <w:t xml:space="preserve"> made a firm commitment to continue strengthening and expanding these types of projects to the entire country. The </w:t>
      </w:r>
      <w:proofErr w:type="spellStart"/>
      <w:proofErr w:type="gramStart"/>
      <w:r>
        <w:rPr>
          <w:sz w:val="22"/>
          <w:lang w:val="en-GB"/>
        </w:rPr>
        <w:t>GoP</w:t>
      </w:r>
      <w:proofErr w:type="spellEnd"/>
      <w:proofErr w:type="gramEnd"/>
      <w:r>
        <w:rPr>
          <w:sz w:val="22"/>
          <w:lang w:val="en-GB"/>
        </w:rPr>
        <w:t xml:space="preserve"> has expressed interest in establishing a PES Trust Fund in the future, which might provide funding for this and other incentives schemes. It is also expected that the carbon certificates originated through this scheme will be traded not only locally but also internationally, creating an additional source of funding for the PES mechanism. Finally, the alliance with the financial sector is uniquely positioned to leverage complementary sources to fund some of the incremental costs for activities that promote global environmental sustainability.</w:t>
      </w:r>
    </w:p>
    <w:p w:rsidR="007B2875" w:rsidRDefault="00BF1DCA">
      <w:pPr>
        <w:spacing w:after="80"/>
        <w:rPr>
          <w:sz w:val="22"/>
          <w:lang w:val="en-GB"/>
        </w:rPr>
      </w:pPr>
      <w:r>
        <w:rPr>
          <w:sz w:val="22"/>
          <w:lang w:val="en-GB"/>
        </w:rPr>
        <w:t>A.1.7.3.</w:t>
      </w:r>
      <w:r>
        <w:rPr>
          <w:sz w:val="22"/>
          <w:lang w:val="en-GB"/>
        </w:rPr>
        <w:tab/>
        <w:t xml:space="preserve"> Scaling-up: if success can be demonstrated in this project, the model has the potential to be replicated and amplified not only in other parts of the DCFC, but also in the highly threatened IAF for eastern Paraguay, where only 7% of the original forest cover remains. There is also a high potential to replicate this project in </w:t>
      </w:r>
      <w:proofErr w:type="spellStart"/>
      <w:r>
        <w:rPr>
          <w:sz w:val="22"/>
          <w:lang w:val="en-GB"/>
        </w:rPr>
        <w:t>neighboring</w:t>
      </w:r>
      <w:proofErr w:type="spellEnd"/>
      <w:r>
        <w:rPr>
          <w:sz w:val="22"/>
          <w:lang w:val="en-GB"/>
        </w:rPr>
        <w:t xml:space="preserve"> countries (Argentina, Brazil and Bolivia) with similar </w:t>
      </w:r>
      <w:proofErr w:type="spellStart"/>
      <w:r>
        <w:rPr>
          <w:sz w:val="22"/>
          <w:lang w:val="en-GB"/>
        </w:rPr>
        <w:t>ecoregions</w:t>
      </w:r>
      <w:proofErr w:type="spellEnd"/>
      <w:r>
        <w:rPr>
          <w:sz w:val="22"/>
          <w:lang w:val="en-GB"/>
        </w:rPr>
        <w:t xml:space="preserve"> and socioeconomic conditions. The lessons learned will improve the regional and global knowledge on this subject.</w:t>
      </w:r>
    </w:p>
    <w:p w:rsidR="007B2875" w:rsidRDefault="007B2875">
      <w:pPr>
        <w:spacing w:after="80"/>
        <w:rPr>
          <w:sz w:val="22"/>
          <w:lang w:val="en-GB"/>
        </w:rPr>
      </w:pPr>
    </w:p>
    <w:p w:rsidR="007B2875" w:rsidRDefault="00BF1DCA">
      <w:pPr>
        <w:spacing w:after="80"/>
        <w:rPr>
          <w:rFonts w:ascii="Times New Roman Bold" w:hAnsi="Times New Roman Bold"/>
          <w:sz w:val="22"/>
        </w:rPr>
      </w:pPr>
      <w:proofErr w:type="gramStart"/>
      <w:r>
        <w:rPr>
          <w:rFonts w:ascii="Times New Roman Bold" w:hAnsi="Times New Roman Bold"/>
          <w:sz w:val="22"/>
        </w:rPr>
        <w:t>A.2. Stakeholders.</w:t>
      </w:r>
      <w:proofErr w:type="gramEnd"/>
      <w:r>
        <w:rPr>
          <w:rFonts w:ascii="Times New Roman Bold" w:hAnsi="Times New Roman Bold"/>
          <w:sz w:val="22"/>
        </w:rPr>
        <w:t xml:space="preserve"> Identify key stakeholders (including civil society organizations, indigenous people, gender groups, and others as relevant) and describe how they will be engaged in project preparation:</w:t>
      </w:r>
    </w:p>
    <w:p w:rsidR="007B2875" w:rsidRDefault="00BF1DCA">
      <w:pPr>
        <w:spacing w:after="80"/>
        <w:rPr>
          <w:rFonts w:ascii="Times New Roman Bold" w:hAnsi="Times New Roman Bold"/>
          <w:sz w:val="22"/>
        </w:rPr>
      </w:pPr>
      <w:r>
        <w:rPr>
          <w:rFonts w:ascii="Times New Roman Bold" w:hAnsi="Times New Roman Bold"/>
          <w:sz w:val="22"/>
        </w:rPr>
        <w:t xml:space="preserve">A.2.1. Stakeholders’ engagement: </w:t>
      </w:r>
    </w:p>
    <w:p w:rsidR="007B2875" w:rsidRDefault="00BF1DCA">
      <w:pPr>
        <w:spacing w:after="80"/>
        <w:rPr>
          <w:sz w:val="22"/>
        </w:rPr>
      </w:pPr>
      <w:r>
        <w:rPr>
          <w:sz w:val="22"/>
        </w:rPr>
        <w:t>A.2.1.1.</w:t>
      </w:r>
      <w:r>
        <w:rPr>
          <w:sz w:val="22"/>
        </w:rPr>
        <w:tab/>
        <w:t xml:space="preserve"> The preparation and implementation of this project will be carried out in a participative and inclusive manner. It is expected that a wide array of national and local government agencies, private sector organizations, SCOs (including NGOs), and local communities will be involved in the project preparation and implementation phases. </w:t>
      </w:r>
    </w:p>
    <w:p w:rsidR="007B2875" w:rsidRDefault="00BF1DCA">
      <w:pPr>
        <w:spacing w:after="80"/>
        <w:rPr>
          <w:sz w:val="22"/>
        </w:rPr>
      </w:pPr>
      <w:r>
        <w:rPr>
          <w:sz w:val="22"/>
        </w:rPr>
        <w:t>A.2.1.2.</w:t>
      </w:r>
      <w:r>
        <w:rPr>
          <w:sz w:val="22"/>
        </w:rPr>
        <w:tab/>
        <w:t xml:space="preserve"> To ensure that the project meets CI-GEF Project Agency’s “Stakeholders’ Engagement Best Practice”, the Executing Agency will develop and submit, at the beginning of the PPG phase, a “Stakeholders’ Engagement Plan” for the Project Agency’s approval. The Project Agency will oversee the implementation of this plan throughout the duration of the </w:t>
      </w:r>
      <w:proofErr w:type="gramStart"/>
      <w:r>
        <w:rPr>
          <w:sz w:val="22"/>
        </w:rPr>
        <w:t>project .</w:t>
      </w:r>
      <w:proofErr w:type="gramEnd"/>
    </w:p>
    <w:p w:rsidR="007B2875" w:rsidRDefault="00BF1DCA">
      <w:pPr>
        <w:spacing w:after="80"/>
        <w:rPr>
          <w:sz w:val="22"/>
        </w:rPr>
      </w:pPr>
      <w:r>
        <w:rPr>
          <w:sz w:val="22"/>
        </w:rPr>
        <w:t>A.2.1.3.</w:t>
      </w:r>
      <w:r>
        <w:rPr>
          <w:sz w:val="22"/>
        </w:rPr>
        <w:tab/>
        <w:t xml:space="preserve"> Below we provide a list of key stakeholders for this project and a brief description of the type of engagement we expect from them:</w:t>
      </w:r>
    </w:p>
    <w:p w:rsidR="007B2875" w:rsidRDefault="00BF1DCA">
      <w:pPr>
        <w:spacing w:after="80"/>
        <w:rPr>
          <w:sz w:val="22"/>
        </w:rPr>
      </w:pPr>
      <w:r>
        <w:rPr>
          <w:sz w:val="22"/>
        </w:rPr>
        <w:lastRenderedPageBreak/>
        <w:t xml:space="preserve">a. Ministry of the Environment (SEAM): in charge of promoting environmental performance and issuing licenses for land use change. </w:t>
      </w:r>
    </w:p>
    <w:p w:rsidR="007B2875" w:rsidRDefault="00BF1DCA">
      <w:pPr>
        <w:spacing w:after="80"/>
        <w:rPr>
          <w:sz w:val="22"/>
        </w:rPr>
      </w:pPr>
      <w:proofErr w:type="gramStart"/>
      <w:r>
        <w:rPr>
          <w:sz w:val="22"/>
        </w:rPr>
        <w:t>b. Ministry</w:t>
      </w:r>
      <w:proofErr w:type="gramEnd"/>
      <w:r>
        <w:rPr>
          <w:sz w:val="22"/>
        </w:rPr>
        <w:t xml:space="preserve"> of Agriculture (MAG): in charge of promoting agriculture and livestock production, key institution for the promotion of sound, sustainable agricultural practices</w:t>
      </w:r>
    </w:p>
    <w:p w:rsidR="007B2875" w:rsidRDefault="00BF1DCA">
      <w:pPr>
        <w:spacing w:after="80"/>
        <w:rPr>
          <w:sz w:val="22"/>
        </w:rPr>
      </w:pPr>
      <w:proofErr w:type="gramStart"/>
      <w:r>
        <w:rPr>
          <w:sz w:val="22"/>
        </w:rPr>
        <w:t>c. Ministry</w:t>
      </w:r>
      <w:proofErr w:type="gramEnd"/>
      <w:r>
        <w:rPr>
          <w:sz w:val="22"/>
        </w:rPr>
        <w:t xml:space="preserve"> of Finance (MF): in charge of recognizing and making official PES certificates which can be negotiated domestically and abroad.  </w:t>
      </w:r>
    </w:p>
    <w:p w:rsidR="007B2875" w:rsidRDefault="00BF1DCA">
      <w:pPr>
        <w:spacing w:after="80"/>
        <w:rPr>
          <w:sz w:val="22"/>
        </w:rPr>
      </w:pPr>
      <w:proofErr w:type="gramStart"/>
      <w:r>
        <w:rPr>
          <w:sz w:val="22"/>
        </w:rPr>
        <w:t>d. Ministry</w:t>
      </w:r>
      <w:proofErr w:type="gramEnd"/>
      <w:r>
        <w:rPr>
          <w:sz w:val="22"/>
        </w:rPr>
        <w:t xml:space="preserve"> of Foreign Affairs (MRE): in charge of promoting the project and the outputs (PES certificates) internationally and involving potential investors from the private sector </w:t>
      </w:r>
    </w:p>
    <w:p w:rsidR="007B2875" w:rsidRDefault="00BF1DCA">
      <w:pPr>
        <w:spacing w:after="80"/>
        <w:rPr>
          <w:sz w:val="22"/>
        </w:rPr>
      </w:pPr>
      <w:proofErr w:type="gramStart"/>
      <w:r>
        <w:rPr>
          <w:sz w:val="22"/>
        </w:rPr>
        <w:t>e. Ministry</w:t>
      </w:r>
      <w:proofErr w:type="gramEnd"/>
      <w:r>
        <w:rPr>
          <w:sz w:val="22"/>
        </w:rPr>
        <w:t xml:space="preserve"> of Public Works and Communications (MOPC): in charge of potential compensations of public works with certificates emitted for additional land conservation</w:t>
      </w:r>
    </w:p>
    <w:p w:rsidR="007B2875" w:rsidRDefault="00BF1DCA">
      <w:pPr>
        <w:spacing w:after="80"/>
        <w:rPr>
          <w:sz w:val="22"/>
        </w:rPr>
      </w:pPr>
      <w:proofErr w:type="gramStart"/>
      <w:r>
        <w:rPr>
          <w:sz w:val="22"/>
        </w:rPr>
        <w:t>f. National</w:t>
      </w:r>
      <w:proofErr w:type="gramEnd"/>
      <w:r>
        <w:rPr>
          <w:sz w:val="22"/>
        </w:rPr>
        <w:t xml:space="preserve"> Institute of Forestry (INFONA): in charge of conservation and sustainable use of forest and its carbon </w:t>
      </w:r>
    </w:p>
    <w:p w:rsidR="007B2875" w:rsidRDefault="00BF1DCA">
      <w:pPr>
        <w:spacing w:after="80"/>
        <w:rPr>
          <w:sz w:val="22"/>
        </w:rPr>
      </w:pPr>
      <w:proofErr w:type="gramStart"/>
      <w:r>
        <w:rPr>
          <w:sz w:val="22"/>
        </w:rPr>
        <w:t>g</w:t>
      </w:r>
      <w:proofErr w:type="gramEnd"/>
      <w:r>
        <w:rPr>
          <w:sz w:val="22"/>
        </w:rPr>
        <w:t>. Indigenous Peoples Federation (FAPI): this NGO will work to provide information, facilitate dialogue processes and seek free, prior and informed consent of affected indigenous communities</w:t>
      </w:r>
    </w:p>
    <w:p w:rsidR="007B2875" w:rsidRDefault="00BF1DCA">
      <w:pPr>
        <w:spacing w:after="80"/>
        <w:rPr>
          <w:sz w:val="22"/>
        </w:rPr>
      </w:pPr>
      <w:r>
        <w:rPr>
          <w:sz w:val="22"/>
        </w:rPr>
        <w:t>h. Environmental Law and Economics Institute (IDEA): leading legal and economic NGO, expected to play a leading role during implementation</w:t>
      </w:r>
    </w:p>
    <w:p w:rsidR="007B2875" w:rsidRDefault="00BF1DCA">
      <w:pPr>
        <w:spacing w:after="80"/>
        <w:rPr>
          <w:sz w:val="22"/>
        </w:rPr>
      </w:pPr>
      <w:proofErr w:type="spellStart"/>
      <w:proofErr w:type="gramStart"/>
      <w:r>
        <w:rPr>
          <w:sz w:val="22"/>
        </w:rPr>
        <w:t>i</w:t>
      </w:r>
      <w:proofErr w:type="spellEnd"/>
      <w:r>
        <w:rPr>
          <w:sz w:val="22"/>
        </w:rPr>
        <w:t>. Paraguay</w:t>
      </w:r>
      <w:proofErr w:type="gramEnd"/>
      <w:r>
        <w:rPr>
          <w:sz w:val="22"/>
        </w:rPr>
        <w:t xml:space="preserve"> Indigenous Affairs Institute (INDI): in charge of indigenous affairs and involved with FAPI to consult with indigenous People </w:t>
      </w:r>
    </w:p>
    <w:p w:rsidR="007B2875" w:rsidRDefault="00BF1DCA">
      <w:pPr>
        <w:spacing w:after="80"/>
        <w:rPr>
          <w:sz w:val="22"/>
        </w:rPr>
      </w:pPr>
      <w:proofErr w:type="gramStart"/>
      <w:r>
        <w:rPr>
          <w:sz w:val="22"/>
        </w:rPr>
        <w:t>j. Museum</w:t>
      </w:r>
      <w:proofErr w:type="gramEnd"/>
      <w:r>
        <w:rPr>
          <w:sz w:val="22"/>
        </w:rPr>
        <w:t xml:space="preserve"> of Natural History London (MNHL): scientific international organization with interests in conserving the Gran Chaco, which will contribute staff for the biodiversity inventory and monitoring</w:t>
      </w:r>
    </w:p>
    <w:p w:rsidR="007B2875" w:rsidRDefault="00BF1DCA">
      <w:pPr>
        <w:spacing w:after="80"/>
        <w:rPr>
          <w:sz w:val="22"/>
        </w:rPr>
      </w:pPr>
      <w:proofErr w:type="gramStart"/>
      <w:r>
        <w:rPr>
          <w:sz w:val="22"/>
        </w:rPr>
        <w:t>k</w:t>
      </w:r>
      <w:proofErr w:type="gramEnd"/>
      <w:r>
        <w:rPr>
          <w:sz w:val="22"/>
        </w:rPr>
        <w:t>. World Land Trust/Swire Pacific Offshore (SPO): counterpart in an ongoing REDD+ project complementary to this project (Paraguayan Forest Conservation Project)</w:t>
      </w:r>
    </w:p>
    <w:p w:rsidR="007B2875" w:rsidRDefault="00BF1DCA">
      <w:pPr>
        <w:spacing w:after="80"/>
        <w:rPr>
          <w:sz w:val="22"/>
        </w:rPr>
      </w:pPr>
      <w:r>
        <w:rPr>
          <w:sz w:val="22"/>
        </w:rPr>
        <w:t xml:space="preserve">l. Paraguayan Ranchers Association (ARP): main association which will help to pilot the project and scaling it up with their members </w:t>
      </w:r>
    </w:p>
    <w:p w:rsidR="007B2875" w:rsidRDefault="00BF1DCA">
      <w:pPr>
        <w:spacing w:after="80"/>
        <w:rPr>
          <w:sz w:val="22"/>
        </w:rPr>
      </w:pPr>
      <w:r>
        <w:rPr>
          <w:sz w:val="22"/>
        </w:rPr>
        <w:t>m. Roundtable of Sustainable Finance: leading financial institution to manage and operate compensatory practices in the National productive sector</w:t>
      </w:r>
    </w:p>
    <w:p w:rsidR="007B2875" w:rsidRDefault="00BF1DCA">
      <w:pPr>
        <w:spacing w:after="80"/>
        <w:rPr>
          <w:sz w:val="22"/>
        </w:rPr>
      </w:pPr>
      <w:r>
        <w:rPr>
          <w:sz w:val="22"/>
        </w:rPr>
        <w:t>A.2.1.4.</w:t>
      </w:r>
      <w:r>
        <w:rPr>
          <w:sz w:val="22"/>
        </w:rPr>
        <w:tab/>
        <w:t xml:space="preserve"> In addition, we foresee the following institutions and organizations to be directly or indirectly involved in various phases of this project: Ministry of Women’s Affairs (MM), Ministry of Industry and Trade (MIC), Ministry of Justice and Labor (MJT), Ministry of Health and Social Welfare (MSPBS), Ministry of Interior (MDI), Ministry of Education and Culture (MEC), National Emergency and Social Action Secretary (SAS), National Service for Animal, Vegetable and Seed Quality (SENAVE), Meteorology Bureau (DM), National University of Asunción (UNA), Chamber of Paraguayan </w:t>
      </w:r>
      <w:proofErr w:type="spellStart"/>
      <w:r>
        <w:rPr>
          <w:sz w:val="22"/>
        </w:rPr>
        <w:t>Agroindustries</w:t>
      </w:r>
      <w:proofErr w:type="spellEnd"/>
      <w:r>
        <w:rPr>
          <w:sz w:val="22"/>
        </w:rPr>
        <w:t xml:space="preserve"> (CAP), Industrial Group of Paraguay (UIP-private sector), Network of Environment NGOs of Paraguay (ROAM), private landholders (ranchers), and several local communities.</w:t>
      </w:r>
    </w:p>
    <w:p w:rsidR="007B2875" w:rsidRDefault="007B2875">
      <w:pPr>
        <w:spacing w:after="80"/>
        <w:rPr>
          <w:sz w:val="22"/>
        </w:rPr>
      </w:pPr>
    </w:p>
    <w:p w:rsidR="007B2875" w:rsidRDefault="00BF1DCA">
      <w:pPr>
        <w:spacing w:after="80"/>
        <w:rPr>
          <w:rFonts w:ascii="Times New Roman Bold" w:hAnsi="Times New Roman Bold"/>
          <w:sz w:val="22"/>
        </w:rPr>
      </w:pPr>
      <w:r>
        <w:rPr>
          <w:rFonts w:ascii="Times New Roman Bold" w:hAnsi="Times New Roman Bold"/>
          <w:sz w:val="22"/>
        </w:rPr>
        <w:t>A.2.2.</w:t>
      </w:r>
      <w:r>
        <w:rPr>
          <w:rFonts w:ascii="Times New Roman Bold" w:hAnsi="Times New Roman Bold"/>
          <w:sz w:val="22"/>
        </w:rPr>
        <w:tab/>
        <w:t xml:space="preserve"> Indigenous Peoples’ engagement</w:t>
      </w:r>
    </w:p>
    <w:p w:rsidR="007B2875" w:rsidRDefault="00BF1DCA">
      <w:pPr>
        <w:spacing w:after="80"/>
        <w:rPr>
          <w:sz w:val="22"/>
        </w:rPr>
      </w:pPr>
      <w:r>
        <w:rPr>
          <w:sz w:val="22"/>
        </w:rPr>
        <w:t>A.2.2.1.</w:t>
      </w:r>
      <w:r>
        <w:rPr>
          <w:sz w:val="22"/>
        </w:rPr>
        <w:tab/>
        <w:t xml:space="preserve"> At this stage (Project Identification Form, PIF) </w:t>
      </w:r>
      <w:proofErr w:type="spellStart"/>
      <w:r>
        <w:rPr>
          <w:sz w:val="22"/>
        </w:rPr>
        <w:t>Guyrá</w:t>
      </w:r>
      <w:proofErr w:type="spellEnd"/>
      <w:r>
        <w:rPr>
          <w:sz w:val="22"/>
        </w:rPr>
        <w:t xml:space="preserve"> Paraguay expects that the </w:t>
      </w:r>
      <w:proofErr w:type="spellStart"/>
      <w:r>
        <w:rPr>
          <w:sz w:val="22"/>
        </w:rPr>
        <w:t>Ishir</w:t>
      </w:r>
      <w:proofErr w:type="spellEnd"/>
      <w:r>
        <w:rPr>
          <w:sz w:val="22"/>
        </w:rPr>
        <w:t xml:space="preserve"> Community will be invited to join the PES incentive program. This community already has experience with this type of projects, as they are currently beneficiaries of a REDD+ project in which they own a property of 4,700 ha together with </w:t>
      </w:r>
      <w:proofErr w:type="spellStart"/>
      <w:r>
        <w:rPr>
          <w:sz w:val="22"/>
        </w:rPr>
        <w:t>Guyrá</w:t>
      </w:r>
      <w:proofErr w:type="spellEnd"/>
      <w:r>
        <w:rPr>
          <w:sz w:val="22"/>
        </w:rPr>
        <w:t xml:space="preserve"> Paraguay in a socio-environmental condominium. </w:t>
      </w:r>
    </w:p>
    <w:p w:rsidR="007B2875" w:rsidRDefault="00BF1DCA">
      <w:pPr>
        <w:spacing w:after="80"/>
        <w:rPr>
          <w:sz w:val="22"/>
        </w:rPr>
      </w:pPr>
      <w:r>
        <w:rPr>
          <w:sz w:val="22"/>
        </w:rPr>
        <w:t>A.2.2.2.</w:t>
      </w:r>
      <w:r>
        <w:rPr>
          <w:sz w:val="22"/>
        </w:rPr>
        <w:tab/>
        <w:t xml:space="preserve"> Some areas that the Guaraní </w:t>
      </w:r>
      <w:proofErr w:type="spellStart"/>
      <w:r>
        <w:rPr>
          <w:sz w:val="22"/>
        </w:rPr>
        <w:t>Ñandéva</w:t>
      </w:r>
      <w:proofErr w:type="spellEnd"/>
      <w:r>
        <w:rPr>
          <w:sz w:val="22"/>
        </w:rPr>
        <w:t xml:space="preserve">, </w:t>
      </w:r>
      <w:proofErr w:type="spellStart"/>
      <w:r>
        <w:rPr>
          <w:sz w:val="22"/>
        </w:rPr>
        <w:t>Ishir</w:t>
      </w:r>
      <w:proofErr w:type="spellEnd"/>
      <w:r>
        <w:rPr>
          <w:sz w:val="22"/>
        </w:rPr>
        <w:t xml:space="preserve">, and </w:t>
      </w:r>
      <w:proofErr w:type="spellStart"/>
      <w:r>
        <w:rPr>
          <w:sz w:val="22"/>
        </w:rPr>
        <w:t>Ayoreo</w:t>
      </w:r>
      <w:proofErr w:type="spellEnd"/>
      <w:r>
        <w:rPr>
          <w:sz w:val="22"/>
        </w:rPr>
        <w:t xml:space="preserve"> Peoples claim as their ancestral territories, as well as areas where some un-contacted </w:t>
      </w:r>
      <w:proofErr w:type="spellStart"/>
      <w:r>
        <w:rPr>
          <w:sz w:val="22"/>
        </w:rPr>
        <w:t>Ayoreo</w:t>
      </w:r>
      <w:proofErr w:type="spellEnd"/>
      <w:r>
        <w:rPr>
          <w:sz w:val="22"/>
        </w:rPr>
        <w:t xml:space="preserve"> groups may still exist, might fall within the priority areas of this project; this will be determined during the project preparation phase. </w:t>
      </w:r>
    </w:p>
    <w:p w:rsidR="007B2875" w:rsidRDefault="00BF1DCA">
      <w:pPr>
        <w:spacing w:after="80"/>
        <w:rPr>
          <w:sz w:val="22"/>
        </w:rPr>
      </w:pPr>
      <w:r>
        <w:rPr>
          <w:sz w:val="22"/>
        </w:rPr>
        <w:t>A.2.2.3.</w:t>
      </w:r>
      <w:r>
        <w:rPr>
          <w:sz w:val="22"/>
        </w:rPr>
        <w:tab/>
        <w:t xml:space="preserve"> </w:t>
      </w:r>
      <w:proofErr w:type="spellStart"/>
      <w:r>
        <w:rPr>
          <w:sz w:val="22"/>
        </w:rPr>
        <w:t>Guyrá</w:t>
      </w:r>
      <w:proofErr w:type="spellEnd"/>
      <w:r>
        <w:rPr>
          <w:sz w:val="22"/>
        </w:rPr>
        <w:t xml:space="preserve"> Paraguay has implemented successful free, prior and informed consent (FPIC) processes with the </w:t>
      </w:r>
      <w:proofErr w:type="spellStart"/>
      <w:r>
        <w:rPr>
          <w:sz w:val="22"/>
        </w:rPr>
        <w:t>Mby’a</w:t>
      </w:r>
      <w:proofErr w:type="spellEnd"/>
      <w:r>
        <w:rPr>
          <w:sz w:val="22"/>
        </w:rPr>
        <w:t xml:space="preserve"> Guaraní and the </w:t>
      </w:r>
      <w:proofErr w:type="spellStart"/>
      <w:r>
        <w:rPr>
          <w:sz w:val="22"/>
        </w:rPr>
        <w:t>Ishir-Chamacoco</w:t>
      </w:r>
      <w:proofErr w:type="spellEnd"/>
      <w:r>
        <w:rPr>
          <w:sz w:val="22"/>
        </w:rPr>
        <w:t xml:space="preserve"> Peoples in eastern and western Paraguay, respectively. If indigenous peoples and/or their lands are identified as part of the priority areas for this project and if they will be part of the project, a proper FPIC process will be implemented using the guidelines </w:t>
      </w:r>
      <w:r>
        <w:rPr>
          <w:sz w:val="22"/>
        </w:rPr>
        <w:lastRenderedPageBreak/>
        <w:t>developed by INDI. Staff from INDI and SEAM will supervise the implementation of the FPIC process. FAPI will be invited to oversee the FPIC process.</w:t>
      </w:r>
    </w:p>
    <w:p w:rsidR="007B2875" w:rsidRDefault="00BF1DCA">
      <w:pPr>
        <w:spacing w:after="80"/>
        <w:rPr>
          <w:sz w:val="22"/>
        </w:rPr>
      </w:pPr>
      <w:r>
        <w:rPr>
          <w:sz w:val="22"/>
        </w:rPr>
        <w:t>A.2.2.4.</w:t>
      </w:r>
      <w:r>
        <w:rPr>
          <w:sz w:val="22"/>
        </w:rPr>
        <w:tab/>
        <w:t xml:space="preserve"> The Project Agency does not foresee that the project will create any major social negative impacts on indigenous peoples, such as loss/change of customary rights to land and/or use, access to natural resources and/or loss of culture and social cohesion. However, to ensure that the project meets CI-GEF Project Agency’s “Indigenous Peoples Policy #4”, the Executing Agency will develop an “Indigenous Peoples Plan (IPP)” during of the PPG phase. The terms of reference will be provided by the Project Agency, who will approve and oversee the implementation of this plan throughout the duration of the project.</w:t>
      </w:r>
    </w:p>
    <w:p w:rsidR="007B2875" w:rsidRDefault="007B2875">
      <w:pPr>
        <w:spacing w:after="80"/>
        <w:rPr>
          <w:sz w:val="22"/>
        </w:rPr>
      </w:pPr>
    </w:p>
    <w:p w:rsidR="007B2875" w:rsidRDefault="007B2875">
      <w:pPr>
        <w:spacing w:after="80"/>
        <w:rPr>
          <w:sz w:val="22"/>
        </w:rPr>
      </w:pPr>
    </w:p>
    <w:p w:rsidR="007B2875" w:rsidRDefault="00BF1DCA">
      <w:pPr>
        <w:spacing w:after="80"/>
        <w:rPr>
          <w:rFonts w:ascii="Times New Roman Bold" w:hAnsi="Times New Roman Bold"/>
          <w:sz w:val="22"/>
        </w:rPr>
      </w:pPr>
      <w:r>
        <w:rPr>
          <w:rFonts w:ascii="Times New Roman Bold" w:hAnsi="Times New Roman Bold"/>
          <w:sz w:val="22"/>
        </w:rPr>
        <w:t>A.2.3.</w:t>
      </w:r>
      <w:r>
        <w:rPr>
          <w:rFonts w:ascii="Times New Roman Bold" w:hAnsi="Times New Roman Bold"/>
          <w:sz w:val="22"/>
        </w:rPr>
        <w:tab/>
        <w:t>Gender mainstreaming issues</w:t>
      </w:r>
    </w:p>
    <w:p w:rsidR="007B2875" w:rsidRDefault="00BF1DCA">
      <w:pPr>
        <w:spacing w:after="80"/>
        <w:rPr>
          <w:sz w:val="22"/>
        </w:rPr>
      </w:pPr>
      <w:r>
        <w:rPr>
          <w:sz w:val="22"/>
        </w:rPr>
        <w:t>A.2.3.1.</w:t>
      </w:r>
      <w:r>
        <w:rPr>
          <w:sz w:val="22"/>
        </w:rPr>
        <w:tab/>
        <w:t xml:space="preserve"> To ensure that the project meets CI-GEF Project Agency’s “Gender Mainstreaming Policy #8”, the Executing Agency will develop a “Gender Mainstreaming Strategy and Action Plan” during of the PPG phase that will ensure the mainstreaming of gender issues throughout the project. The terms of reference will be provided by the CI-GEF Project Agency, who will approve and oversee the implementation of this Strategy and Action Plan throughout the duration of the project.</w:t>
      </w:r>
    </w:p>
    <w:p w:rsidR="007B2875" w:rsidRDefault="007B2875">
      <w:pPr>
        <w:spacing w:after="80"/>
        <w:rPr>
          <w:sz w:val="22"/>
          <w:lang w:val="en-GB"/>
        </w:rPr>
      </w:pPr>
    </w:p>
    <w:p w:rsidR="007B2875" w:rsidRDefault="00BF1DCA">
      <w:pPr>
        <w:spacing w:after="80"/>
        <w:rPr>
          <w:rFonts w:ascii="Times New Roman Bold" w:hAnsi="Times New Roman Bold"/>
          <w:sz w:val="22"/>
        </w:rPr>
      </w:pPr>
      <w:proofErr w:type="gramStart"/>
      <w:r>
        <w:rPr>
          <w:rFonts w:ascii="Times New Roman Bold" w:hAnsi="Times New Roman Bold"/>
          <w:sz w:val="22"/>
        </w:rPr>
        <w:t>A.3 Risk.</w:t>
      </w:r>
      <w:proofErr w:type="gramEnd"/>
      <w:r>
        <w:rPr>
          <w:rFonts w:ascii="Times New Roman Bold" w:hAnsi="Times New Roman Bold"/>
          <w:sz w:val="22"/>
        </w:rPr>
        <w:t xml:space="preserve"> Indicate risks, including climate change, potential social and environmental risks that might prevent the project objectives from being achieved, and, if possible, propose measures that address these risks to be further developed during the project design (table format acceptable): </w:t>
      </w:r>
    </w:p>
    <w:tbl>
      <w:tblPr>
        <w:tblW w:w="0" w:type="auto"/>
        <w:tblLayout w:type="fixed"/>
        <w:tblLook w:val="0000"/>
      </w:tblPr>
      <w:tblGrid>
        <w:gridCol w:w="8766"/>
      </w:tblGrid>
      <w:tr w:rsidR="007B2875">
        <w:trPr>
          <w:cantSplit/>
          <w:trHeight w:val="6140"/>
        </w:trPr>
        <w:tc>
          <w:tcPr>
            <w:tcW w:w="8766" w:type="dxa"/>
            <w:tcBorders>
              <w:top w:val="none" w:sz="8" w:space="0" w:color="000000"/>
              <w:left w:val="none" w:sz="8" w:space="0" w:color="000000"/>
              <w:bottom w:val="none" w:sz="8" w:space="0" w:color="000000"/>
              <w:right w:val="none" w:sz="8" w:space="0" w:color="000000"/>
            </w:tcBorders>
            <w:shd w:val="clear" w:color="auto" w:fill="auto"/>
            <w:tcMar>
              <w:top w:w="0" w:type="dxa"/>
              <w:left w:w="0" w:type="dxa"/>
              <w:bottom w:w="0" w:type="dxa"/>
              <w:right w:w="0" w:type="dxa"/>
            </w:tcMar>
          </w:tcPr>
          <w:p w:rsidR="007B2875" w:rsidRDefault="00BF1DCA">
            <w:pPr>
              <w:spacing w:after="80"/>
              <w:rPr>
                <w:sz w:val="22"/>
              </w:rPr>
            </w:pPr>
            <w:r>
              <w:rPr>
                <w:sz w:val="22"/>
              </w:rPr>
              <w:t xml:space="preserve">A.3.1. Potential difficulties in coordinating actions between SEAM and other government agencies due to perceived conflicting competences of these institutions. During PPG consultations with leaders, formal agreements between agencies will be developed to clarify roles and responsibilities and avoid future barriers for the project. </w:t>
            </w:r>
          </w:p>
          <w:p w:rsidR="007B2875" w:rsidRDefault="00BF1DCA">
            <w:pPr>
              <w:spacing w:after="80"/>
              <w:rPr>
                <w:sz w:val="22"/>
              </w:rPr>
            </w:pPr>
            <w:r>
              <w:rPr>
                <w:sz w:val="22"/>
              </w:rPr>
              <w:t xml:space="preserve">A.3.2. There is a slight chance that some financial institutions involved in the project might be reluctant to revise their lending policies to include environmental safeguards. To manage this risk, the Roundtable for Sustainable Finances and the leading banks involved in the project will work together with financial to discuss the Equator Principles and conduct studies showing potential liability that financial institutions face due to forest destruction. </w:t>
            </w:r>
          </w:p>
          <w:p w:rsidR="007B2875" w:rsidRDefault="00BF1DCA">
            <w:pPr>
              <w:spacing w:after="80"/>
              <w:rPr>
                <w:sz w:val="22"/>
              </w:rPr>
            </w:pPr>
            <w:r>
              <w:rPr>
                <w:sz w:val="22"/>
              </w:rPr>
              <w:t>A.3.3.</w:t>
            </w:r>
            <w:r>
              <w:rPr>
                <w:sz w:val="22"/>
              </w:rPr>
              <w:tab/>
              <w:t xml:space="preserve"> Potential lack of interest from the corporate sector. Economic valuations and environmental risk assessments to be designed during the PPG phase and implemented during the life of the project will help make business case for corporate to review their </w:t>
            </w:r>
            <w:proofErr w:type="gramStart"/>
            <w:r>
              <w:rPr>
                <w:sz w:val="22"/>
              </w:rPr>
              <w:t>eco(</w:t>
            </w:r>
            <w:proofErr w:type="gramEnd"/>
            <w:r>
              <w:rPr>
                <w:sz w:val="22"/>
              </w:rPr>
              <w:t xml:space="preserve">carbon)-footprint. </w:t>
            </w:r>
          </w:p>
          <w:p w:rsidR="007B2875" w:rsidRDefault="00BF1DCA">
            <w:pPr>
              <w:spacing w:after="80"/>
              <w:rPr>
                <w:sz w:val="22"/>
              </w:rPr>
            </w:pPr>
            <w:r>
              <w:rPr>
                <w:sz w:val="22"/>
              </w:rPr>
              <w:t>A.3.4.</w:t>
            </w:r>
            <w:r>
              <w:rPr>
                <w:sz w:val="22"/>
              </w:rPr>
              <w:tab/>
              <w:t xml:space="preserve"> Weak or limited capacity of implementation of governmental structures could result in significant delays in implementation and low project performance. The Executing Agency will develop work packages of the project to decrease the workload for each institution involved and the will set up a project management unit with a sufficient level of autonomy, to be able to work even when the key government focal points are difficult to reach. </w:t>
            </w:r>
          </w:p>
          <w:p w:rsidR="007B2875" w:rsidRDefault="00BF1DCA">
            <w:pPr>
              <w:spacing w:after="80"/>
              <w:rPr>
                <w:sz w:val="22"/>
              </w:rPr>
            </w:pPr>
            <w:r>
              <w:rPr>
                <w:sz w:val="22"/>
              </w:rPr>
              <w:t>A.3.5.</w:t>
            </w:r>
            <w:r>
              <w:rPr>
                <w:sz w:val="22"/>
              </w:rPr>
              <w:tab/>
              <w:t xml:space="preserve"> The international prices of commodities (cattle and potentially soybean) continue to increase without internalizing negative impacts to the environment. This in turn creates additional pressure to expand the agricultural frontier in the DCFC. The project will work to add value to commodity produced under a recognized certification schemes, using best available practices. The project will explore the establishment of regulatory norms, standards, certification for producers and buyers to address this risk.</w:t>
            </w:r>
          </w:p>
          <w:p w:rsidR="007B2875" w:rsidRDefault="007B2875">
            <w:pPr>
              <w:spacing w:after="80"/>
            </w:pPr>
          </w:p>
        </w:tc>
      </w:tr>
    </w:tbl>
    <w:p w:rsidR="007B2875" w:rsidRDefault="007B2875">
      <w:pPr>
        <w:pStyle w:val="FreeForm"/>
        <w:rPr>
          <w:rFonts w:ascii="Times New Roman Bold" w:hAnsi="Times New Roman Bold"/>
          <w:sz w:val="22"/>
        </w:rPr>
      </w:pPr>
    </w:p>
    <w:p w:rsidR="007B2875" w:rsidRDefault="007B2875">
      <w:pPr>
        <w:pStyle w:val="FreeFormA"/>
        <w:rPr>
          <w:rFonts w:ascii="Times New Roman Bold" w:hAnsi="Times New Roman Bold"/>
          <w:sz w:val="22"/>
        </w:rPr>
      </w:pPr>
    </w:p>
    <w:p w:rsidR="007B2875" w:rsidRDefault="00BF1DCA">
      <w:pPr>
        <w:spacing w:after="80"/>
        <w:rPr>
          <w:rFonts w:ascii="Times New Roman Bold" w:hAnsi="Times New Roman Bold"/>
          <w:sz w:val="22"/>
        </w:rPr>
      </w:pPr>
      <w:proofErr w:type="gramStart"/>
      <w:r>
        <w:rPr>
          <w:rFonts w:ascii="Times New Roman Bold" w:hAnsi="Times New Roman Bold"/>
          <w:sz w:val="22"/>
        </w:rPr>
        <w:t>A.4. Coordination.</w:t>
      </w:r>
      <w:proofErr w:type="gramEnd"/>
      <w:r>
        <w:rPr>
          <w:rFonts w:ascii="Times New Roman Bold" w:hAnsi="Times New Roman Bold"/>
          <w:sz w:val="22"/>
        </w:rPr>
        <w:t xml:space="preserve"> Outline the coordination with other relevant GEF financed and other initiatives: </w:t>
      </w:r>
    </w:p>
    <w:tbl>
      <w:tblPr>
        <w:tblW w:w="0" w:type="auto"/>
        <w:tblLayout w:type="fixed"/>
        <w:tblLook w:val="0000"/>
      </w:tblPr>
      <w:tblGrid>
        <w:gridCol w:w="8748"/>
      </w:tblGrid>
      <w:tr w:rsidR="007B2875">
        <w:trPr>
          <w:cantSplit/>
          <w:trHeight w:val="16780"/>
        </w:trPr>
        <w:tc>
          <w:tcPr>
            <w:tcW w:w="8748" w:type="dxa"/>
            <w:tcBorders>
              <w:top w:val="none" w:sz="8" w:space="0" w:color="000000"/>
              <w:left w:val="none" w:sz="8" w:space="0" w:color="000000"/>
              <w:bottom w:val="none" w:sz="8" w:space="0" w:color="000000"/>
              <w:right w:val="none" w:sz="8" w:space="0" w:color="000000"/>
            </w:tcBorders>
            <w:shd w:val="clear" w:color="auto" w:fill="auto"/>
            <w:tcMar>
              <w:top w:w="0" w:type="dxa"/>
              <w:left w:w="0" w:type="dxa"/>
              <w:bottom w:w="0" w:type="dxa"/>
              <w:right w:w="0" w:type="dxa"/>
            </w:tcMar>
          </w:tcPr>
          <w:p w:rsidR="007B2875" w:rsidRDefault="00BF1DCA">
            <w:pPr>
              <w:spacing w:after="80"/>
              <w:rPr>
                <w:rFonts w:ascii="Times New Roman Bold" w:hAnsi="Times New Roman Bold"/>
                <w:sz w:val="22"/>
              </w:rPr>
            </w:pPr>
            <w:r>
              <w:rPr>
                <w:rFonts w:ascii="Times New Roman Bold" w:hAnsi="Times New Roman Bold"/>
                <w:sz w:val="22"/>
              </w:rPr>
              <w:lastRenderedPageBreak/>
              <w:t>A.4.1. This project will work and coordinate activities with the following initiatives:</w:t>
            </w:r>
          </w:p>
          <w:p w:rsidR="007B2875" w:rsidRDefault="00BF1DCA">
            <w:pPr>
              <w:spacing w:after="80"/>
              <w:rPr>
                <w:sz w:val="22"/>
              </w:rPr>
            </w:pPr>
            <w:r>
              <w:rPr>
                <w:sz w:val="22"/>
              </w:rPr>
              <w:t xml:space="preserve">a. </w:t>
            </w:r>
            <w:r>
              <w:rPr>
                <w:sz w:val="22"/>
                <w:u w:val="single"/>
              </w:rPr>
              <w:t>Mainstreaming Biodiversity Conservation and Sustainable Land Management into Production Practices in all Bioregions and Biomes in Paraguay (GEF-UNDP Project):</w:t>
            </w:r>
            <w:r>
              <w:rPr>
                <w:sz w:val="22"/>
              </w:rPr>
              <w:t xml:space="preserve">  UNDP and </w:t>
            </w:r>
            <w:proofErr w:type="spellStart"/>
            <w:r>
              <w:rPr>
                <w:sz w:val="22"/>
              </w:rPr>
              <w:t>Guyrá</w:t>
            </w:r>
            <w:proofErr w:type="spellEnd"/>
            <w:r>
              <w:rPr>
                <w:sz w:val="22"/>
              </w:rPr>
              <w:t xml:space="preserve"> Paraguay have been working together for many years and have already discussed cooperation and coordination for this initiative. The PES incentive program will apply lessons learned from the GEF-UNDP project on approaches to mainstream climate change and SLM into production systems, and contribute with its own experiences.</w:t>
            </w:r>
          </w:p>
          <w:p w:rsidR="007B2875" w:rsidRDefault="00BF1DCA">
            <w:pPr>
              <w:spacing w:after="80"/>
              <w:rPr>
                <w:sz w:val="22"/>
              </w:rPr>
            </w:pPr>
            <w:r>
              <w:rPr>
                <w:sz w:val="22"/>
              </w:rPr>
              <w:t xml:space="preserve">b. </w:t>
            </w:r>
            <w:r>
              <w:rPr>
                <w:sz w:val="22"/>
                <w:u w:val="single"/>
              </w:rPr>
              <w:t>Improving the Conservation of Biodiversity in Atlantic Forest of Eastern Paraguay (GEF-WB-</w:t>
            </w:r>
            <w:proofErr w:type="spellStart"/>
            <w:r>
              <w:rPr>
                <w:sz w:val="22"/>
                <w:u w:val="single"/>
              </w:rPr>
              <w:t>Itaipú</w:t>
            </w:r>
            <w:proofErr w:type="spellEnd"/>
            <w:r>
              <w:rPr>
                <w:sz w:val="22"/>
                <w:u w:val="single"/>
              </w:rPr>
              <w:t xml:space="preserve"> </w:t>
            </w:r>
            <w:proofErr w:type="spellStart"/>
            <w:r>
              <w:rPr>
                <w:sz w:val="22"/>
                <w:u w:val="single"/>
              </w:rPr>
              <w:t>Binacional</w:t>
            </w:r>
            <w:proofErr w:type="spellEnd"/>
            <w:r>
              <w:rPr>
                <w:sz w:val="22"/>
                <w:u w:val="single"/>
              </w:rPr>
              <w:t>):</w:t>
            </w:r>
            <w:r>
              <w:rPr>
                <w:sz w:val="22"/>
              </w:rPr>
              <w:t xml:space="preserve"> the PES incentive program will capitalize and learn from the experiences in the IAF about the economics behind rebuilding ecosystem connectivity at the </w:t>
            </w:r>
            <w:proofErr w:type="spellStart"/>
            <w:r>
              <w:rPr>
                <w:sz w:val="22"/>
              </w:rPr>
              <w:t>ecoregional</w:t>
            </w:r>
            <w:proofErr w:type="spellEnd"/>
            <w:r>
              <w:rPr>
                <w:sz w:val="22"/>
              </w:rPr>
              <w:t xml:space="preserve"> level. </w:t>
            </w:r>
          </w:p>
          <w:p w:rsidR="007B2875" w:rsidRDefault="00BF1DCA">
            <w:pPr>
              <w:spacing w:after="80"/>
              <w:rPr>
                <w:sz w:val="22"/>
              </w:rPr>
            </w:pPr>
            <w:r>
              <w:rPr>
                <w:sz w:val="22"/>
              </w:rPr>
              <w:t xml:space="preserve">c. </w:t>
            </w:r>
            <w:r>
              <w:rPr>
                <w:sz w:val="22"/>
                <w:u w:val="single"/>
              </w:rPr>
              <w:t>Sustainable Forest Management in the Transboundary Gran Chaco American Ecosystem (GEF-UNDP-UNEP):</w:t>
            </w:r>
            <w:r>
              <w:rPr>
                <w:sz w:val="22"/>
              </w:rPr>
              <w:t xml:space="preserve"> this regional project is being implemented in the Gran Chaco and will provide lessons learned on reducing land degradation, conserving biodiversity and increasing carbon sequestration regionally. It will be important for the success of the PES project to implement formal working linkages with this regional program to identify synergies and opportunities for scaling up. </w:t>
            </w:r>
          </w:p>
          <w:p w:rsidR="007B2875" w:rsidRDefault="00BF1DCA">
            <w:pPr>
              <w:spacing w:after="80"/>
              <w:rPr>
                <w:sz w:val="22"/>
              </w:rPr>
            </w:pPr>
            <w:r>
              <w:rPr>
                <w:sz w:val="22"/>
              </w:rPr>
              <w:t xml:space="preserve">d. </w:t>
            </w:r>
            <w:r>
              <w:rPr>
                <w:sz w:val="22"/>
                <w:u w:val="single"/>
              </w:rPr>
              <w:t>Gran Chaco Deforestation and Fire Monitoring Program (</w:t>
            </w:r>
            <w:proofErr w:type="spellStart"/>
            <w:r>
              <w:rPr>
                <w:sz w:val="22"/>
                <w:u w:val="single"/>
              </w:rPr>
              <w:t>Guyrá</w:t>
            </w:r>
            <w:proofErr w:type="spellEnd"/>
            <w:r>
              <w:rPr>
                <w:sz w:val="22"/>
                <w:u w:val="single"/>
              </w:rPr>
              <w:t xml:space="preserve"> Paraguay):</w:t>
            </w:r>
            <w:r>
              <w:rPr>
                <w:sz w:val="22"/>
              </w:rPr>
              <w:t xml:space="preserve"> the monitoring of land use change will produce monthly reports that will guide the identification of priority areas for the PES incentive program, as well as providing a coarse filter for early detection of new deforestation areas.</w:t>
            </w:r>
          </w:p>
          <w:p w:rsidR="007B2875" w:rsidRDefault="00BF1DCA">
            <w:pPr>
              <w:spacing w:after="80"/>
              <w:rPr>
                <w:sz w:val="22"/>
              </w:rPr>
            </w:pPr>
            <w:proofErr w:type="gramStart"/>
            <w:r>
              <w:rPr>
                <w:sz w:val="22"/>
              </w:rPr>
              <w:t>e</w:t>
            </w:r>
            <w:proofErr w:type="gramEnd"/>
            <w:r>
              <w:rPr>
                <w:sz w:val="22"/>
              </w:rPr>
              <w:t xml:space="preserve">. </w:t>
            </w:r>
            <w:r>
              <w:rPr>
                <w:sz w:val="22"/>
                <w:u w:val="single"/>
              </w:rPr>
              <w:t>Paraguay Forest Conservation Project (</w:t>
            </w:r>
            <w:proofErr w:type="spellStart"/>
            <w:r>
              <w:rPr>
                <w:sz w:val="22"/>
                <w:u w:val="single"/>
              </w:rPr>
              <w:t>Guyrá</w:t>
            </w:r>
            <w:proofErr w:type="spellEnd"/>
            <w:r>
              <w:rPr>
                <w:sz w:val="22"/>
                <w:u w:val="single"/>
              </w:rPr>
              <w:t xml:space="preserve"> Paraguay and World Land Trust):</w:t>
            </w:r>
            <w:r>
              <w:rPr>
                <w:sz w:val="22"/>
              </w:rPr>
              <w:t xml:space="preserve"> the project area is located inside the DCFC and the experience of this REDD+ project in the voluntary market and its scaling up will be complementary to this PES project. Also the active role of the </w:t>
            </w:r>
            <w:proofErr w:type="spellStart"/>
            <w:r>
              <w:rPr>
                <w:sz w:val="22"/>
              </w:rPr>
              <w:t>Ishir</w:t>
            </w:r>
            <w:proofErr w:type="spellEnd"/>
            <w:r>
              <w:rPr>
                <w:sz w:val="22"/>
              </w:rPr>
              <w:t xml:space="preserve"> Indigenous Community with the socio-environmental condominium with </w:t>
            </w:r>
            <w:proofErr w:type="spellStart"/>
            <w:r>
              <w:rPr>
                <w:sz w:val="22"/>
              </w:rPr>
              <w:t>Guyrá</w:t>
            </w:r>
            <w:proofErr w:type="spellEnd"/>
            <w:r>
              <w:rPr>
                <w:sz w:val="22"/>
              </w:rPr>
              <w:t xml:space="preserve"> Paraguay will provide crucial lessons for developing win-win alliances with indigenous peoples. </w:t>
            </w:r>
          </w:p>
          <w:p w:rsidR="007B2875" w:rsidRDefault="00BF1DCA">
            <w:pPr>
              <w:spacing w:after="80"/>
              <w:rPr>
                <w:sz w:val="22"/>
              </w:rPr>
            </w:pPr>
            <w:r>
              <w:rPr>
                <w:sz w:val="22"/>
              </w:rPr>
              <w:t xml:space="preserve">f. </w:t>
            </w:r>
            <w:proofErr w:type="spellStart"/>
            <w:r>
              <w:rPr>
                <w:sz w:val="22"/>
                <w:u w:val="single"/>
              </w:rPr>
              <w:t>RedesChaco</w:t>
            </w:r>
            <w:proofErr w:type="spellEnd"/>
            <w:r>
              <w:rPr>
                <w:sz w:val="22"/>
                <w:u w:val="single"/>
              </w:rPr>
              <w:t xml:space="preserve"> (AVINA Foundation):</w:t>
            </w:r>
            <w:r>
              <w:rPr>
                <w:sz w:val="22"/>
              </w:rPr>
              <w:t xml:space="preserve"> this network of networks works towards increasing awareness and improving governance of the Gran Chaco natural resources. </w:t>
            </w:r>
            <w:proofErr w:type="spellStart"/>
            <w:r>
              <w:rPr>
                <w:sz w:val="22"/>
              </w:rPr>
              <w:t>RedesChaco</w:t>
            </w:r>
            <w:proofErr w:type="spellEnd"/>
            <w:r>
              <w:rPr>
                <w:sz w:val="22"/>
              </w:rPr>
              <w:t xml:space="preserve"> will play a leading role in disseminating the results of the PES project regionally. This is the largest initiative to share information and develop joint actions for the sustainable use of the Gran Chaco. </w:t>
            </w:r>
          </w:p>
          <w:p w:rsidR="007B2875" w:rsidRDefault="00BF1DCA">
            <w:pPr>
              <w:spacing w:after="80"/>
              <w:rPr>
                <w:sz w:val="22"/>
              </w:rPr>
            </w:pPr>
            <w:r>
              <w:rPr>
                <w:sz w:val="22"/>
              </w:rPr>
              <w:t xml:space="preserve">g. Our project will closely work and coordinate with the </w:t>
            </w:r>
            <w:r>
              <w:rPr>
                <w:sz w:val="22"/>
                <w:u w:val="single"/>
              </w:rPr>
              <w:t>National Forest Monitoring System</w:t>
            </w:r>
            <w:r>
              <w:rPr>
                <w:sz w:val="22"/>
              </w:rPr>
              <w:t xml:space="preserve">. In fact, the executing agencies of this monitoring system (SEAM, INFONA, and FAPI) are also partners in this PES scheme project, making coordination and cross-learning much easier. Currently, </w:t>
            </w:r>
            <w:proofErr w:type="spellStart"/>
            <w:r>
              <w:rPr>
                <w:sz w:val="22"/>
              </w:rPr>
              <w:t>Guyra</w:t>
            </w:r>
            <w:proofErr w:type="spellEnd"/>
            <w:r>
              <w:rPr>
                <w:sz w:val="22"/>
              </w:rPr>
              <w:t xml:space="preserve"> Paraguay is an active partner of this monitoring platform. However, it is important to mention that the National Forest Monitoring System (a component of the UN-REDD program in Paraguay) has not yet completed the forest and carbon inventories in the country.</w:t>
            </w:r>
          </w:p>
          <w:p w:rsidR="007B2875" w:rsidRDefault="00BF1DCA">
            <w:pPr>
              <w:spacing w:after="80"/>
              <w:rPr>
                <w:sz w:val="22"/>
              </w:rPr>
            </w:pPr>
            <w:r>
              <w:rPr>
                <w:sz w:val="22"/>
              </w:rPr>
              <w:t xml:space="preserve">h. </w:t>
            </w:r>
            <w:r>
              <w:rPr>
                <w:sz w:val="22"/>
                <w:u w:val="single"/>
              </w:rPr>
              <w:t>UN-REDD Paraguay Program</w:t>
            </w:r>
            <w:r>
              <w:rPr>
                <w:sz w:val="22"/>
              </w:rPr>
              <w:t xml:space="preserve">: the objective of the UN-REDD Paraguay Program is to assist the </w:t>
            </w:r>
            <w:proofErr w:type="spellStart"/>
            <w:r>
              <w:rPr>
                <w:sz w:val="22"/>
              </w:rPr>
              <w:t>GoP</w:t>
            </w:r>
            <w:proofErr w:type="spellEnd"/>
            <w:r>
              <w:rPr>
                <w:sz w:val="22"/>
              </w:rPr>
              <w:t xml:space="preserve"> in the establishment of a National REDD+ program taking into consideration the guidelines of UN-REDD and those being developed by Indigenous Peoples Federation (FAPI) to be used with indigenous Peoples. This program has been incorporated as a baseline project and will be treated as a closely related activity. By CEO endorsement we will provide specific details and levels of coordination and interaction with this initiative.</w:t>
            </w:r>
          </w:p>
          <w:p w:rsidR="007B2875" w:rsidRDefault="007B2875">
            <w:pPr>
              <w:spacing w:after="80"/>
              <w:rPr>
                <w:sz w:val="22"/>
              </w:rPr>
            </w:pPr>
          </w:p>
          <w:p w:rsidR="007B2875" w:rsidRDefault="00BF1DCA">
            <w:pPr>
              <w:spacing w:after="80"/>
              <w:rPr>
                <w:rFonts w:ascii="Times New Roman Bold" w:hAnsi="Times New Roman Bold"/>
                <w:sz w:val="22"/>
              </w:rPr>
            </w:pPr>
            <w:r>
              <w:rPr>
                <w:rFonts w:ascii="Times New Roman Bold" w:hAnsi="Times New Roman Bold"/>
                <w:sz w:val="22"/>
              </w:rPr>
              <w:t>Clarification about co-financing:</w:t>
            </w:r>
          </w:p>
          <w:p w:rsidR="007B2875" w:rsidRDefault="00BF1DCA">
            <w:pPr>
              <w:numPr>
                <w:ilvl w:val="0"/>
                <w:numId w:val="5"/>
              </w:numPr>
              <w:spacing w:after="80"/>
              <w:ind w:hanging="360"/>
              <w:rPr>
                <w:rFonts w:ascii="Lucida Grande" w:hAnsi="Lucida Grande"/>
                <w:sz w:val="22"/>
              </w:rPr>
            </w:pPr>
            <w:r>
              <w:rPr>
                <w:rFonts w:ascii="Times New Roman Bold" w:hAnsi="Times New Roman Bold"/>
                <w:sz w:val="22"/>
              </w:rPr>
              <w:t>Foundations</w:t>
            </w:r>
            <w:r>
              <w:rPr>
                <w:sz w:val="22"/>
              </w:rPr>
              <w:t xml:space="preserve">: includes a) the World Land Trust a current partner of </w:t>
            </w:r>
            <w:proofErr w:type="spellStart"/>
            <w:r>
              <w:rPr>
                <w:sz w:val="22"/>
              </w:rPr>
              <w:t>Guyra</w:t>
            </w:r>
            <w:proofErr w:type="spellEnd"/>
            <w:r>
              <w:rPr>
                <w:sz w:val="22"/>
              </w:rPr>
              <w:t xml:space="preserve"> Paraguay in the Paraguayan Forest Conservation Project (PFCP); and b) the Natural History Museum London;</w:t>
            </w:r>
          </w:p>
          <w:p w:rsidR="007B2875" w:rsidRDefault="00BF1DCA">
            <w:pPr>
              <w:numPr>
                <w:ilvl w:val="0"/>
                <w:numId w:val="5"/>
              </w:numPr>
              <w:spacing w:after="80"/>
              <w:ind w:hanging="360"/>
              <w:rPr>
                <w:rFonts w:ascii="Lucida Grande" w:hAnsi="Lucida Grande"/>
                <w:sz w:val="22"/>
              </w:rPr>
            </w:pPr>
            <w:r>
              <w:rPr>
                <w:rFonts w:ascii="Times New Roman Bold" w:hAnsi="Times New Roman Bold"/>
                <w:sz w:val="22"/>
              </w:rPr>
              <w:t>CSOs</w:t>
            </w:r>
            <w:r>
              <w:rPr>
                <w:sz w:val="22"/>
              </w:rPr>
              <w:t xml:space="preserve">: includes a) Conservation International (CI) through its Global Conservation Fund (GCF); and b) </w:t>
            </w:r>
            <w:proofErr w:type="spellStart"/>
            <w:r>
              <w:rPr>
                <w:sz w:val="22"/>
              </w:rPr>
              <w:t>Guyra</w:t>
            </w:r>
            <w:proofErr w:type="spellEnd"/>
            <w:r>
              <w:rPr>
                <w:sz w:val="22"/>
              </w:rPr>
              <w:t xml:space="preserve"> Paraguay whose PFCP is a baseline project;</w:t>
            </w:r>
          </w:p>
          <w:p w:rsidR="007B2875" w:rsidRDefault="00BF1DCA">
            <w:pPr>
              <w:numPr>
                <w:ilvl w:val="0"/>
                <w:numId w:val="5"/>
              </w:numPr>
              <w:spacing w:after="80"/>
              <w:ind w:hanging="360"/>
              <w:rPr>
                <w:rFonts w:ascii="Lucida Grande" w:hAnsi="Lucida Grande"/>
                <w:sz w:val="22"/>
              </w:rPr>
            </w:pPr>
            <w:r>
              <w:rPr>
                <w:rFonts w:ascii="Times New Roman Bold" w:hAnsi="Times New Roman Bold"/>
                <w:sz w:val="22"/>
              </w:rPr>
              <w:t>National Government</w:t>
            </w:r>
            <w:r>
              <w:rPr>
                <w:sz w:val="22"/>
              </w:rPr>
              <w:t xml:space="preserve">: includes a) the Secretariat of the Environment (SEAM) who will be </w:t>
            </w:r>
            <w:proofErr w:type="spellStart"/>
            <w:r>
              <w:rPr>
                <w:sz w:val="22"/>
              </w:rPr>
              <w:t>cofinancing</w:t>
            </w:r>
            <w:proofErr w:type="spellEnd"/>
            <w:r>
              <w:rPr>
                <w:sz w:val="22"/>
              </w:rPr>
              <w:t xml:space="preserve"> this project with financial resources allocated through the national budget and in-kind resources; and b) Other governmental institutions that will be involved in mainstreaming environmental and low-carbon technologies and climate smart practices such as Ministry of Industry &amp; Commerce, Ministry of Justice &amp; Work, Ministry of Public Works and Communication, Ministry of Agriculture and Livestock, National Institute for the Agrarian Reform (INDERT), National Livestock Fund, and INFONA; and</w:t>
            </w:r>
          </w:p>
          <w:p w:rsidR="007B2875" w:rsidRDefault="00BF1DCA">
            <w:pPr>
              <w:numPr>
                <w:ilvl w:val="0"/>
                <w:numId w:val="5"/>
              </w:numPr>
              <w:spacing w:after="80"/>
              <w:ind w:hanging="360"/>
              <w:rPr>
                <w:rFonts w:ascii="Lucida Grande" w:hAnsi="Lucida Grande"/>
                <w:sz w:val="22"/>
              </w:rPr>
            </w:pPr>
            <w:r>
              <w:rPr>
                <w:rFonts w:ascii="Times New Roman Bold" w:hAnsi="Times New Roman Bold"/>
                <w:sz w:val="22"/>
              </w:rPr>
              <w:t>Private sector</w:t>
            </w:r>
            <w:r>
              <w:rPr>
                <w:sz w:val="22"/>
              </w:rPr>
              <w:t>: includes a) private sector companies required by law to invest in environmental mitigation measures resulting from Environmental Impact Assessments, individuals and companies that are legally obliged to invest in restoration projects, and companies that apply standards on Environmental and Social Responsibility (ESR) or are interested in reducing their carbon footprint; and b) Roundtable of Sustainable Finances led by four main financial institutions, incorporating protocols and crediting conditions into their policies that are required by law to invest in environmental off-set programs.</w:t>
            </w:r>
          </w:p>
          <w:p w:rsidR="007B2875" w:rsidRDefault="00BF1DCA">
            <w:pPr>
              <w:numPr>
                <w:ilvl w:val="0"/>
                <w:numId w:val="5"/>
              </w:numPr>
              <w:spacing w:after="80"/>
              <w:ind w:hanging="360"/>
              <w:rPr>
                <w:sz w:val="22"/>
              </w:rPr>
            </w:pPr>
            <w:r>
              <w:rPr>
                <w:sz w:val="22"/>
              </w:rPr>
              <w:t xml:space="preserve">The Global Conservation Fund (GCF), a CI funding mechanism program, has recently invested USD 1 million in the creation a Conservation Trust Fund with </w:t>
            </w:r>
            <w:proofErr w:type="spellStart"/>
            <w:r>
              <w:rPr>
                <w:sz w:val="22"/>
              </w:rPr>
              <w:t>Guyra</w:t>
            </w:r>
            <w:proofErr w:type="spellEnd"/>
            <w:r>
              <w:rPr>
                <w:sz w:val="22"/>
              </w:rPr>
              <w:t xml:space="preserve"> Paraguay. The amount shown in the table below represents a portion of the funds that will be generated by Trust Fund.</w:t>
            </w:r>
          </w:p>
        </w:tc>
      </w:tr>
    </w:tbl>
    <w:p w:rsidR="007B2875" w:rsidRDefault="007B2875">
      <w:pPr>
        <w:pStyle w:val="FreeForm"/>
        <w:rPr>
          <w:rFonts w:ascii="Times New Roman Bold" w:hAnsi="Times New Roman Bold"/>
          <w:sz w:val="22"/>
        </w:rPr>
      </w:pPr>
    </w:p>
    <w:p w:rsidR="007B2875" w:rsidRDefault="007B2875">
      <w:pPr>
        <w:pStyle w:val="FreeFormA"/>
        <w:rPr>
          <w:rFonts w:ascii="Times New Roman Bold" w:hAnsi="Times New Roman Bold"/>
          <w:sz w:val="22"/>
        </w:rPr>
      </w:pPr>
    </w:p>
    <w:p w:rsidR="007B2875" w:rsidRDefault="007B2875">
      <w:pPr>
        <w:pStyle w:val="Footer1"/>
        <w:rPr>
          <w:rFonts w:ascii="Times New Roman Bold" w:hAnsi="Times New Roman Bold"/>
          <w:caps/>
          <w:color w:val="2586F6"/>
          <w:sz w:val="22"/>
          <w:u w:val="single"/>
        </w:rPr>
      </w:pPr>
    </w:p>
    <w:p w:rsidR="007B2875" w:rsidRDefault="007B2875">
      <w:pPr>
        <w:pStyle w:val="Footer1"/>
        <w:rPr>
          <w:rFonts w:ascii="Times New Roman Bold" w:hAnsi="Times New Roman Bold"/>
          <w:caps/>
          <w:color w:val="2586F6"/>
          <w:sz w:val="22"/>
          <w:u w:val="single"/>
        </w:rPr>
      </w:pPr>
    </w:p>
    <w:p w:rsidR="007B2875" w:rsidRDefault="00BF1DCA">
      <w:pPr>
        <w:pStyle w:val="ListParagraph"/>
        <w:numPr>
          <w:ilvl w:val="0"/>
          <w:numId w:val="4"/>
        </w:numPr>
        <w:tabs>
          <w:tab w:val="clear" w:pos="360"/>
          <w:tab w:val="num" w:pos="765"/>
        </w:tabs>
        <w:ind w:left="765" w:hanging="360"/>
      </w:pPr>
      <w:r>
        <w:t>Description of the consistency of the project with:</w:t>
      </w:r>
    </w:p>
    <w:tbl>
      <w:tblPr>
        <w:tblW w:w="0" w:type="auto"/>
        <w:tblLayout w:type="fixed"/>
        <w:tblLook w:val="0000"/>
      </w:tblPr>
      <w:tblGrid>
        <w:gridCol w:w="8478"/>
      </w:tblGrid>
      <w:tr w:rsidR="007B2875">
        <w:trPr>
          <w:cantSplit/>
          <w:trHeight w:val="9900"/>
        </w:trPr>
        <w:tc>
          <w:tcPr>
            <w:tcW w:w="8478" w:type="dxa"/>
            <w:tcBorders>
              <w:top w:val="none" w:sz="8" w:space="0" w:color="000000"/>
              <w:left w:val="none" w:sz="8" w:space="0" w:color="000000"/>
              <w:bottom w:val="none" w:sz="8" w:space="0" w:color="000000"/>
              <w:right w:val="none" w:sz="8" w:space="0" w:color="000000"/>
            </w:tcBorders>
            <w:shd w:val="clear" w:color="auto" w:fill="auto"/>
            <w:tcMar>
              <w:top w:w="0" w:type="dxa"/>
              <w:left w:w="0" w:type="dxa"/>
              <w:bottom w:w="0" w:type="dxa"/>
              <w:right w:w="0" w:type="dxa"/>
            </w:tcMar>
          </w:tcPr>
          <w:p w:rsidR="007B2875" w:rsidRDefault="00BF1DCA">
            <w:pPr>
              <w:spacing w:after="80"/>
              <w:rPr>
                <w:rFonts w:ascii="Times New Roman Bold" w:hAnsi="Times New Roman Bold"/>
                <w:sz w:val="22"/>
              </w:rPr>
            </w:pPr>
            <w:r>
              <w:rPr>
                <w:rFonts w:ascii="Times New Roman Bold" w:hAnsi="Times New Roman Bold"/>
                <w:sz w:val="22"/>
              </w:rPr>
              <w:t>B.1 National strategies and plans or reports and assessments under relevant conventions, if applicable, i.e. NAPAs, NAPs, NBSAPs, national communications, TNAs, NCSAs, NIPs, PRSPs, NPFE, Biennial Update Reports, etc.:</w:t>
            </w:r>
          </w:p>
          <w:p w:rsidR="007B2875" w:rsidRDefault="00BF1DCA">
            <w:pPr>
              <w:spacing w:after="80"/>
              <w:rPr>
                <w:sz w:val="22"/>
              </w:rPr>
            </w:pPr>
            <w:r>
              <w:rPr>
                <w:sz w:val="22"/>
              </w:rPr>
              <w:t>B.1.1.1.</w:t>
            </w:r>
            <w:r>
              <w:rPr>
                <w:sz w:val="22"/>
              </w:rPr>
              <w:tab/>
              <w:t>This project is highly consistent with several international agreements, as well as national plans and initiatives related to the issue of climate change:</w:t>
            </w:r>
          </w:p>
          <w:p w:rsidR="007B2875" w:rsidRDefault="00BF1DCA">
            <w:pPr>
              <w:spacing w:after="80"/>
              <w:rPr>
                <w:sz w:val="22"/>
              </w:rPr>
            </w:pPr>
            <w:proofErr w:type="gramStart"/>
            <w:r>
              <w:rPr>
                <w:sz w:val="22"/>
              </w:rPr>
              <w:t xml:space="preserve">a.  </w:t>
            </w:r>
            <w:r>
              <w:rPr>
                <w:sz w:val="22"/>
                <w:u w:val="single"/>
              </w:rPr>
              <w:t>United</w:t>
            </w:r>
            <w:proofErr w:type="gramEnd"/>
            <w:r>
              <w:rPr>
                <w:sz w:val="22"/>
                <w:u w:val="single"/>
              </w:rPr>
              <w:t xml:space="preserve"> Nations Framework Convention on Climate Change (UNFCCC):</w:t>
            </w:r>
            <w:r>
              <w:rPr>
                <w:sz w:val="22"/>
              </w:rPr>
              <w:t xml:space="preserve"> this project will assist the </w:t>
            </w:r>
            <w:proofErr w:type="spellStart"/>
            <w:r>
              <w:rPr>
                <w:sz w:val="22"/>
              </w:rPr>
              <w:t>GoP</w:t>
            </w:r>
            <w:proofErr w:type="spellEnd"/>
            <w:r>
              <w:rPr>
                <w:sz w:val="22"/>
              </w:rPr>
              <w:t xml:space="preserve"> to fulfill its commitments under articles 4 and 5 of the Convention.</w:t>
            </w:r>
          </w:p>
          <w:p w:rsidR="007B2875" w:rsidRDefault="00BF1DCA">
            <w:pPr>
              <w:spacing w:after="80"/>
              <w:rPr>
                <w:sz w:val="22"/>
              </w:rPr>
            </w:pPr>
            <w:proofErr w:type="gramStart"/>
            <w:r>
              <w:rPr>
                <w:sz w:val="22"/>
              </w:rPr>
              <w:t xml:space="preserve">b.  </w:t>
            </w:r>
            <w:r>
              <w:rPr>
                <w:sz w:val="22"/>
                <w:u w:val="single"/>
              </w:rPr>
              <w:t>2008</w:t>
            </w:r>
            <w:proofErr w:type="gramEnd"/>
            <w:r>
              <w:rPr>
                <w:sz w:val="22"/>
                <w:u w:val="single"/>
              </w:rPr>
              <w:t>-2013 Paraguay Climate Change Five-Year Plan</w:t>
            </w:r>
            <w:r>
              <w:rPr>
                <w:sz w:val="22"/>
              </w:rPr>
              <w:t>: the plan calls for avoiding/reducing deforestation and promoting natural regeneration of native forests with the aim of covering 10% of the country's surface area. The PES project will directly support the fulfilling of this Plan’s goals and targets by reducing deforestation in at least 100,000 ha of DCFC.</w:t>
            </w:r>
          </w:p>
          <w:p w:rsidR="007B2875" w:rsidRDefault="00BF1DCA">
            <w:pPr>
              <w:spacing w:after="80"/>
              <w:rPr>
                <w:sz w:val="22"/>
              </w:rPr>
            </w:pPr>
            <w:proofErr w:type="gramStart"/>
            <w:r>
              <w:rPr>
                <w:sz w:val="22"/>
              </w:rPr>
              <w:t xml:space="preserve">c.  </w:t>
            </w:r>
            <w:r>
              <w:rPr>
                <w:sz w:val="22"/>
                <w:u w:val="single"/>
              </w:rPr>
              <w:t>Paraguay</w:t>
            </w:r>
            <w:proofErr w:type="gramEnd"/>
            <w:r>
              <w:rPr>
                <w:sz w:val="22"/>
                <w:u w:val="single"/>
              </w:rPr>
              <w:t xml:space="preserve"> National Climate Change Policy (2011):</w:t>
            </w:r>
            <w:r>
              <w:rPr>
                <w:sz w:val="22"/>
              </w:rPr>
              <w:t xml:space="preserve"> the PES project is fully aligned with the national policy guidelines regarding climate change mitigation and financing mechanisms. The activities of this project respond to the guidelines of the POLNACC, regarding the implementation of financial mechanisms to reduce GHG emissions and forest conservation through the promotion of PES schemes.</w:t>
            </w:r>
          </w:p>
          <w:p w:rsidR="007B2875" w:rsidRDefault="00BF1DCA">
            <w:pPr>
              <w:spacing w:after="80"/>
              <w:rPr>
                <w:sz w:val="22"/>
              </w:rPr>
            </w:pPr>
            <w:proofErr w:type="gramStart"/>
            <w:r>
              <w:rPr>
                <w:sz w:val="22"/>
              </w:rPr>
              <w:t xml:space="preserve">d.  </w:t>
            </w:r>
            <w:r>
              <w:rPr>
                <w:sz w:val="22"/>
                <w:u w:val="single"/>
              </w:rPr>
              <w:t>National</w:t>
            </w:r>
            <w:proofErr w:type="gramEnd"/>
            <w:r>
              <w:rPr>
                <w:sz w:val="22"/>
                <w:u w:val="single"/>
              </w:rPr>
              <w:t xml:space="preserve"> Climate Change Mitigation Strategy:</w:t>
            </w:r>
            <w:r>
              <w:rPr>
                <w:sz w:val="22"/>
              </w:rPr>
              <w:t xml:space="preserve"> the PES project is framed within the strategic lines established in this national strategy and will contribute to the fulfilling of its goals and objectives. The activities of this project are directly linked to the Action Plan for the management and reduction of emissions from deforestation and forest degradation, as well as the Action Plan for the Development of the Forest Sector in Paraguay. This project will create fiscal and economic incentives for sustainable forest management and the enrichment of native forests. In addition, this project will be implemented under the legal guidelines and mandates of the Law 3001/06 “Valuation and Payment for Environmental Services”</w:t>
            </w:r>
          </w:p>
          <w:p w:rsidR="007B2875" w:rsidRDefault="00BF1DCA">
            <w:pPr>
              <w:spacing w:after="80"/>
              <w:rPr>
                <w:sz w:val="22"/>
              </w:rPr>
            </w:pPr>
            <w:r>
              <w:rPr>
                <w:sz w:val="22"/>
              </w:rPr>
              <w:t xml:space="preserve">e. </w:t>
            </w:r>
            <w:r>
              <w:rPr>
                <w:sz w:val="22"/>
                <w:u w:val="single"/>
              </w:rPr>
              <w:t>Second National Communication on Climate Change</w:t>
            </w:r>
            <w:r>
              <w:rPr>
                <w:sz w:val="22"/>
              </w:rPr>
              <w:t>: this communication identifies the LULUCF sector as the main contributor of CO2 emissions in the country, accounting for 94.85% of all the emissions in 2000, followed by the energy sector with 4.59% and the industry sector with 0.56%. Although the communication was centered around the energy sector (due to availability of data), it recognizes the extraordinary importance of the LULUCF sector as the main contributor to the emission of GHG. This PES project will contribute directly with the following recommendations from the Second Communication: a) Decrease current deforestation and forest degradation rates, b) promote a new development paradigm, based on sustainable and low carbon practices; c) support the provision positive incentives to promote forest conservation and enhance carbon sequestration; and d) provide capacity building at different levels of the government and local stakeholders on issues related to climate change. It is important to highlight here that the Second Communication does not set emission targets for the country, therefore, it is not possible to exactly quantify the contribution of this PES project toward meeting national targets</w:t>
            </w:r>
          </w:p>
          <w:p w:rsidR="007B2875" w:rsidRDefault="007B2875">
            <w:pPr>
              <w:spacing w:after="80"/>
            </w:pPr>
          </w:p>
        </w:tc>
      </w:tr>
    </w:tbl>
    <w:p w:rsidR="007B2875" w:rsidRDefault="007B2875">
      <w:pPr>
        <w:pStyle w:val="FreeFormA"/>
        <w:rPr>
          <w:sz w:val="22"/>
        </w:rPr>
      </w:pPr>
    </w:p>
    <w:p w:rsidR="007B2875" w:rsidRDefault="00BF1DCA">
      <w:pPr>
        <w:spacing w:after="80"/>
        <w:rPr>
          <w:rFonts w:ascii="Times New Roman Bold" w:hAnsi="Times New Roman Bold"/>
          <w:sz w:val="22"/>
        </w:rPr>
      </w:pPr>
      <w:r>
        <w:rPr>
          <w:rFonts w:ascii="Times New Roman Bold" w:hAnsi="Times New Roman Bold"/>
          <w:sz w:val="22"/>
        </w:rPr>
        <w:t>B.2. GEF focal area and/or fund(s) strategies, eligibility criteria and priorities:</w:t>
      </w:r>
    </w:p>
    <w:p w:rsidR="007B2875" w:rsidRDefault="00BF1DCA">
      <w:pPr>
        <w:spacing w:after="80"/>
        <w:rPr>
          <w:sz w:val="22"/>
        </w:rPr>
      </w:pPr>
      <w:r>
        <w:rPr>
          <w:sz w:val="22"/>
        </w:rPr>
        <w:t xml:space="preserve">B.2.1. </w:t>
      </w:r>
      <w:proofErr w:type="gramStart"/>
      <w:r>
        <w:rPr>
          <w:sz w:val="22"/>
        </w:rPr>
        <w:t>The</w:t>
      </w:r>
      <w:proofErr w:type="gramEnd"/>
      <w:r>
        <w:rPr>
          <w:sz w:val="22"/>
        </w:rPr>
        <w:t xml:space="preserve"> project is clearly aligned with GEF Focal Area on Climate Change, specifically with Objective 5: LULUCF, Promote conservation and enhancement of carbon stocks through sustainable management </w:t>
      </w:r>
      <w:r>
        <w:rPr>
          <w:sz w:val="22"/>
        </w:rPr>
        <w:lastRenderedPageBreak/>
        <w:t>of land use, land-use change, and forestry and Objective 6 Enabling Activities, Support enabling activities and capacity building under the Convention</w:t>
      </w:r>
    </w:p>
    <w:p w:rsidR="007B2875" w:rsidRDefault="00BF1DCA">
      <w:pPr>
        <w:spacing w:after="80"/>
        <w:rPr>
          <w:sz w:val="22"/>
        </w:rPr>
      </w:pPr>
      <w:r>
        <w:rPr>
          <w:sz w:val="22"/>
        </w:rPr>
        <w:t xml:space="preserve">B.2.2. </w:t>
      </w:r>
      <w:proofErr w:type="gramStart"/>
      <w:r>
        <w:rPr>
          <w:sz w:val="22"/>
        </w:rPr>
        <w:t>The</w:t>
      </w:r>
      <w:proofErr w:type="gramEnd"/>
      <w:r>
        <w:rPr>
          <w:sz w:val="22"/>
        </w:rPr>
        <w:t xml:space="preserve"> primary objective of the project is to avoid and reduce GHG emissions from deforestation and enhance carbon stocks in Western Paraguay through the establishment of a stakeholder PES incentive scheme. As part of the establishment of the PES incentive scheme, the project will design the institutional, legal and technical aspects of the PES incentive for Paraguay and identify landholders to participate in the scheme. The establishment of this scheme will have direct consequences on the reduction in greenhouse gas emissions from LULUCF through the adoption of sustainable land use practices that will conserve, restore, and/or enhance carbon stocks.  Additionally, the GEF project will support capacity building programs around implementation and monitoring of SLM, PES schemes, REDD+ for different levels of stakeholders (including national and local governments, landholders, and local communities) and the strengthening of institutional capacities to promote the mainstreaming of low carbon development, ecosystem accounting and SLM practices in key government agencies.</w:t>
      </w:r>
    </w:p>
    <w:p w:rsidR="007B2875" w:rsidRDefault="007B2875">
      <w:pPr>
        <w:spacing w:after="80"/>
        <w:rPr>
          <w:sz w:val="22"/>
        </w:rPr>
      </w:pPr>
    </w:p>
    <w:p w:rsidR="007B2875" w:rsidRDefault="00BF1DCA">
      <w:pPr>
        <w:spacing w:after="80"/>
        <w:rPr>
          <w:rFonts w:ascii="Times New Roman Bold" w:hAnsi="Times New Roman Bold"/>
          <w:sz w:val="22"/>
        </w:rPr>
      </w:pPr>
      <w:r>
        <w:rPr>
          <w:rFonts w:ascii="Times New Roman Bold" w:hAnsi="Times New Roman Bold"/>
          <w:sz w:val="22"/>
        </w:rPr>
        <w:t xml:space="preserve">B.3 The GEF Agency’s comparative advantage for implementing this project: </w:t>
      </w:r>
    </w:p>
    <w:p w:rsidR="007B2875" w:rsidRDefault="00BF1DCA">
      <w:pPr>
        <w:spacing w:after="80"/>
        <w:rPr>
          <w:sz w:val="22"/>
        </w:rPr>
      </w:pPr>
      <w:r>
        <w:rPr>
          <w:sz w:val="22"/>
        </w:rPr>
        <w:t>B.3.1. Conservation International has ample and long standing experience in designing and implementing PES and REDD+ projects in many countries around the world. CI’s experience in these areas will be crucial to ensure the successful design and implementation of this PES program in Paraguay.</w:t>
      </w:r>
    </w:p>
    <w:p w:rsidR="007B2875" w:rsidRDefault="00BF1DCA">
      <w:pPr>
        <w:spacing w:after="80"/>
        <w:rPr>
          <w:sz w:val="22"/>
        </w:rPr>
      </w:pPr>
      <w:r>
        <w:rPr>
          <w:sz w:val="22"/>
        </w:rPr>
        <w:t>B.3.2. CI’s work on PES is part of a larger approach that seeks to integrate the value of natural capital (nature’s good and services) into development decisions and actions. Thus, CI implements projects that involve the identification and mapping of natural capital at regional, national and local levels, conducts natural capital valuation, develops national natural capital accounting systems, and sets up PES programs to compensate the people, communities and countries whose actions enhance or protect the ecosystem services that nature provides.</w:t>
      </w:r>
    </w:p>
    <w:p w:rsidR="007B2875" w:rsidRDefault="00BF1DCA">
      <w:pPr>
        <w:spacing w:after="80"/>
        <w:rPr>
          <w:sz w:val="22"/>
        </w:rPr>
      </w:pPr>
      <w:r>
        <w:rPr>
          <w:sz w:val="22"/>
        </w:rPr>
        <w:t xml:space="preserve">B.3.3. Currently CI has a portfolio of nearly 130 ecosystem services and PES projects throughout the Asia-Pacific region, Central and South America and Africa. CI employs sound science and innovative technology, builds capacity, influences policies and markets, and implements projects to preserve ecosystem services such as carbon sequestration, drinking water and food, and address other benefits including regulation of climate and water flows through watershed and forest protection, biodiversity conservation, tourism and ecotourism and the recognition of nature’s cultural, religious and inspirational values for humankind. </w:t>
      </w:r>
    </w:p>
    <w:p w:rsidR="007B2875" w:rsidRDefault="00BF1DCA">
      <w:pPr>
        <w:spacing w:after="80"/>
        <w:rPr>
          <w:sz w:val="22"/>
        </w:rPr>
      </w:pPr>
      <w:r>
        <w:rPr>
          <w:sz w:val="22"/>
        </w:rPr>
        <w:t>B.3.4. CI has also experience in scaling up PES schemes from local to national programs. For example, the government of Ecuador, with direct support from CI-Ecuador, designed and approved the "</w:t>
      </w:r>
      <w:proofErr w:type="spellStart"/>
      <w:r>
        <w:rPr>
          <w:sz w:val="22"/>
        </w:rPr>
        <w:t>Programa</w:t>
      </w:r>
      <w:proofErr w:type="spellEnd"/>
      <w:r>
        <w:rPr>
          <w:sz w:val="22"/>
        </w:rPr>
        <w:t xml:space="preserve"> Socio Bosque" program in 2008. Socio Bosque provides a direct payment per hectare of native forest to landowners who agree to conserve their forest through voluntary conservation agreements that are monitored on a regular basis for compliance. Today, the program includes more than half a million hectares of natural ecosystems and has over 60,000 beneficiaries. CI is currently working in replicating this experience in Peru, Bolivia and Botswana.</w:t>
      </w:r>
    </w:p>
    <w:p w:rsidR="007B2875" w:rsidRDefault="00BF1DCA">
      <w:pPr>
        <w:spacing w:after="80"/>
        <w:rPr>
          <w:sz w:val="22"/>
        </w:rPr>
      </w:pPr>
      <w:r>
        <w:rPr>
          <w:sz w:val="22"/>
        </w:rPr>
        <w:t>B.3.5. Regarding climate change mitigation in general, and more specifically REDD+, CI is building on more than 20 years of experience working with local communities on forest conservation by continuing to invest in developing countries maintaining high forest cover. We are advising and building capacity of governments and local communities on designing policies and building the technical capacity, legal frameworks and financial mechanisms for effective implementation of REDD+. CI is also working with policy and business leaders in industrialized countries, such as the United States, Germany, United Kingdom, France and Japan, to encourage funding for REDD+ and market-based approaches to create a demand for forest carbon offsets. To demonstrate how REDD+ policies and mechanisms can work, CI has created an extensive REDD+ training and education program; developed guidelines to ensure that REDD+ will benefit local communities; worked with partners in developing decision-making tools for policy development and economic planning; and set up pilot forest carbon projects around the world.</w:t>
      </w:r>
    </w:p>
    <w:p w:rsidR="007B2875" w:rsidRDefault="00BF1DCA">
      <w:pPr>
        <w:spacing w:after="80"/>
        <w:rPr>
          <w:sz w:val="22"/>
        </w:rPr>
      </w:pPr>
      <w:r>
        <w:rPr>
          <w:sz w:val="22"/>
        </w:rPr>
        <w:lastRenderedPageBreak/>
        <w:t xml:space="preserve">B.3.6. CI is one of the few organizations working on the ground to make sure that the technical, institutional and legal barriers are overcome to ensure wide country participation in a future REDD+ market. We are helping to establish the frameworks that will link local carbon projects to national and international schemes and attract private capital flows to ensure that REDD+ becomes a source of sustainable long-term development financing. </w:t>
      </w:r>
      <w:proofErr w:type="gramStart"/>
      <w:r>
        <w:rPr>
          <w:sz w:val="22"/>
        </w:rPr>
        <w:t>CI's Carbon Fund helps REDD+ projects that follow the best standards progress to the point where they can begin selling credits to the market, with a percentage of credits feeding a revolving mechanism that will ensure the financial sustainability of the projects and the fund.</w:t>
      </w:r>
      <w:proofErr w:type="gramEnd"/>
      <w:r>
        <w:rPr>
          <w:sz w:val="22"/>
        </w:rPr>
        <w:t xml:space="preserve"> As an example, together with the Walt Disney Company, the Carbon Fund has already developed the largest corporate transaction supporting REDD+ in history. In 2009, Disney committed $4 million to develop large-scale REDD+ demonstrations in Peru and the Democratic Republic of Congo.</w:t>
      </w:r>
    </w:p>
    <w:tbl>
      <w:tblPr>
        <w:tblW w:w="0" w:type="auto"/>
        <w:tblLayout w:type="fixed"/>
        <w:tblLook w:val="0000"/>
      </w:tblPr>
      <w:tblGrid>
        <w:gridCol w:w="8352"/>
      </w:tblGrid>
      <w:tr w:rsidR="007B2875">
        <w:trPr>
          <w:cantSplit/>
          <w:trHeight w:val="320"/>
        </w:trPr>
        <w:tc>
          <w:tcPr>
            <w:tcW w:w="8352" w:type="dxa"/>
            <w:tcBorders>
              <w:top w:val="none" w:sz="8" w:space="0" w:color="000000"/>
              <w:left w:val="none" w:sz="8" w:space="0" w:color="000000"/>
              <w:bottom w:val="none" w:sz="8" w:space="0" w:color="000000"/>
              <w:right w:val="none" w:sz="8" w:space="0" w:color="000000"/>
            </w:tcBorders>
            <w:shd w:val="clear" w:color="auto" w:fill="auto"/>
            <w:tcMar>
              <w:top w:w="0" w:type="dxa"/>
              <w:left w:w="0" w:type="dxa"/>
              <w:bottom w:w="0" w:type="dxa"/>
              <w:right w:w="0" w:type="dxa"/>
            </w:tcMar>
          </w:tcPr>
          <w:p w:rsidR="007B2875" w:rsidRDefault="007B2875">
            <w:pPr>
              <w:spacing w:after="80"/>
            </w:pPr>
          </w:p>
        </w:tc>
      </w:tr>
    </w:tbl>
    <w:p w:rsidR="007B2875" w:rsidRDefault="007B2875">
      <w:pPr>
        <w:pStyle w:val="FreeForm"/>
        <w:rPr>
          <w:sz w:val="22"/>
        </w:rPr>
      </w:pPr>
    </w:p>
    <w:p w:rsidR="007B2875" w:rsidRDefault="007B2875">
      <w:pPr>
        <w:pStyle w:val="FreeFormA"/>
        <w:ind w:left="1008"/>
        <w:rPr>
          <w:sz w:val="22"/>
        </w:rPr>
      </w:pPr>
    </w:p>
    <w:p w:rsidR="007B2875" w:rsidRDefault="007B2875"/>
    <w:p w:rsidR="007B2875" w:rsidRDefault="00BF1DCA">
      <w:pPr>
        <w:tabs>
          <w:tab w:val="left" w:pos="1695"/>
        </w:tabs>
      </w:pPr>
      <w:r>
        <w:tab/>
      </w:r>
    </w:p>
    <w:p w:rsidR="007B2875" w:rsidRDefault="00BF1DCA">
      <w:pPr>
        <w:pStyle w:val="Footer1"/>
        <w:rPr>
          <w:rFonts w:ascii="Times New Roman Bold" w:hAnsi="Times New Roman Bold"/>
          <w:caps/>
          <w:sz w:val="22"/>
          <w:u w:val="single"/>
        </w:rPr>
      </w:pPr>
      <w:r>
        <w:rPr>
          <w:rFonts w:ascii="Times New Roman Bold" w:hAnsi="Times New Roman Bold"/>
          <w:caps/>
          <w:color w:val="2586F6"/>
          <w:sz w:val="22"/>
          <w:u w:val="single"/>
        </w:rPr>
        <w:t xml:space="preserve">part iii:  approval/endorsement by gef operational focal point(s) and GEF </w:t>
      </w:r>
      <w:proofErr w:type="gramStart"/>
      <w:r>
        <w:rPr>
          <w:rFonts w:ascii="Times New Roman Bold" w:hAnsi="Times New Roman Bold"/>
          <w:caps/>
          <w:color w:val="2586F6"/>
          <w:sz w:val="22"/>
          <w:u w:val="single"/>
        </w:rPr>
        <w:t>agency(</w:t>
      </w:r>
      <w:proofErr w:type="gramEnd"/>
      <w:r>
        <w:rPr>
          <w:rFonts w:ascii="Times New Roman Bold" w:hAnsi="Times New Roman Bold"/>
          <w:caps/>
          <w:color w:val="2586F6"/>
          <w:sz w:val="22"/>
          <w:u w:val="single"/>
        </w:rPr>
        <w:t>ies</w:t>
      </w:r>
      <w:r>
        <w:rPr>
          <w:rFonts w:ascii="Times New Roman Bold" w:hAnsi="Times New Roman Bold"/>
          <w:caps/>
          <w:sz w:val="22"/>
          <w:u w:val="single"/>
        </w:rPr>
        <w:t>)</w:t>
      </w:r>
    </w:p>
    <w:p w:rsidR="007B2875" w:rsidRDefault="00BF1DCA">
      <w:pPr>
        <w:numPr>
          <w:ilvl w:val="0"/>
          <w:numId w:val="6"/>
        </w:numPr>
        <w:tabs>
          <w:tab w:val="clear" w:pos="360"/>
          <w:tab w:val="num" w:pos="720"/>
        </w:tabs>
        <w:spacing w:before="240" w:after="240"/>
        <w:ind w:left="720" w:hanging="360"/>
        <w:rPr>
          <w:sz w:val="22"/>
        </w:rPr>
      </w:pPr>
      <w:r>
        <w:rPr>
          <w:rFonts w:ascii="Times New Roman Bold" w:hAnsi="Times New Roman Bold"/>
          <w:smallCaps/>
          <w:sz w:val="22"/>
        </w:rPr>
        <w:t>Record of Endorsement of GEF Operational Focal Point (S) on Behalf of the Government(S):</w:t>
      </w:r>
      <w:r>
        <w:rPr>
          <w:sz w:val="22"/>
        </w:rPr>
        <w:t xml:space="preserve"> (Please attach the</w:t>
      </w:r>
      <w:r>
        <w:rPr>
          <w:color w:val="0000FF"/>
          <w:sz w:val="22"/>
        </w:rPr>
        <w:t xml:space="preserve"> </w:t>
      </w:r>
      <w:hyperlink r:id="rId12" w:history="1">
        <w:r>
          <w:rPr>
            <w:rStyle w:val="Hyperlink1"/>
            <w:sz w:val="22"/>
          </w:rPr>
          <w:t>Operational Focal Point endorsement letter(s)</w:t>
        </w:r>
      </w:hyperlink>
      <w:r>
        <w:rPr>
          <w:sz w:val="22"/>
        </w:rPr>
        <w:t xml:space="preserve"> with this template. For SGP, use this </w:t>
      </w:r>
      <w:hyperlink r:id="rId13" w:history="1">
        <w:r>
          <w:rPr>
            <w:rStyle w:val="Hyperlink1"/>
            <w:sz w:val="22"/>
          </w:rPr>
          <w:t>OFP endorsement letter</w:t>
        </w:r>
      </w:hyperlink>
      <w:r>
        <w:rPr>
          <w:sz w:val="22"/>
        </w:rPr>
        <w:t>).</w:t>
      </w:r>
    </w:p>
    <w:p w:rsidR="007B2875" w:rsidRDefault="007B2875">
      <w:pPr>
        <w:numPr>
          <w:ilvl w:val="0"/>
          <w:numId w:val="6"/>
        </w:numPr>
        <w:tabs>
          <w:tab w:val="clear" w:pos="360"/>
          <w:tab w:val="num" w:pos="720"/>
        </w:tabs>
        <w:spacing w:before="240" w:after="240"/>
        <w:ind w:left="720" w:hanging="360"/>
        <w:rPr>
          <w:sz w:val="22"/>
        </w:rPr>
      </w:pPr>
    </w:p>
    <w:tbl>
      <w:tblPr>
        <w:tblW w:w="0" w:type="auto"/>
        <w:tblInd w:w="5" w:type="dxa"/>
        <w:tblLayout w:type="fixed"/>
        <w:tblLook w:val="0000"/>
      </w:tblPr>
      <w:tblGrid>
        <w:gridCol w:w="2286"/>
        <w:gridCol w:w="2303"/>
        <w:gridCol w:w="1830"/>
        <w:gridCol w:w="2460"/>
      </w:tblGrid>
      <w:tr w:rsidR="007B2875">
        <w:trPr>
          <w:cantSplit/>
          <w:trHeight w:val="330"/>
        </w:trPr>
        <w:tc>
          <w:tcPr>
            <w:tcW w:w="228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both"/>
              <w:rPr>
                <w:rFonts w:ascii="Times New Roman Bold" w:hAnsi="Times New Roman Bold"/>
                <w:smallCaps/>
                <w:sz w:val="22"/>
              </w:rPr>
            </w:pPr>
            <w:r>
              <w:rPr>
                <w:rFonts w:ascii="Times New Roman Bold" w:hAnsi="Times New Roman Bold"/>
                <w:smallCaps/>
                <w:sz w:val="22"/>
              </w:rPr>
              <w:t>Name</w:t>
            </w:r>
          </w:p>
        </w:tc>
        <w:tc>
          <w:tcPr>
            <w:tcW w:w="230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both"/>
              <w:rPr>
                <w:rFonts w:ascii="Times New Roman Bold" w:hAnsi="Times New Roman Bold"/>
                <w:smallCaps/>
                <w:sz w:val="22"/>
              </w:rPr>
            </w:pPr>
            <w:r>
              <w:rPr>
                <w:rFonts w:ascii="Times New Roman Bold" w:hAnsi="Times New Roman Bold"/>
                <w:smallCaps/>
                <w:sz w:val="22"/>
              </w:rPr>
              <w:t>Position</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both"/>
              <w:rPr>
                <w:rFonts w:ascii="Times New Roman Bold" w:hAnsi="Times New Roman Bold"/>
                <w:smallCaps/>
                <w:sz w:val="22"/>
              </w:rPr>
            </w:pPr>
            <w:r>
              <w:rPr>
                <w:rFonts w:ascii="Times New Roman Bold" w:hAnsi="Times New Roman Bold"/>
                <w:smallCaps/>
                <w:sz w:val="22"/>
              </w:rPr>
              <w:t>Ministry</w:t>
            </w:r>
          </w:p>
        </w:tc>
        <w:tc>
          <w:tcPr>
            <w:tcW w:w="24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center"/>
              <w:rPr>
                <w:rFonts w:ascii="Times New Roman Italic" w:hAnsi="Times New Roman Italic"/>
                <w:sz w:val="22"/>
              </w:rPr>
            </w:pPr>
            <w:r>
              <w:rPr>
                <w:rFonts w:ascii="Times New Roman Bold" w:hAnsi="Times New Roman Bold"/>
                <w:smallCaps/>
                <w:sz w:val="22"/>
              </w:rPr>
              <w:t>Date</w:t>
            </w:r>
            <w:r>
              <w:rPr>
                <w:rFonts w:ascii="Times New Roman Bold" w:hAnsi="Times New Roman Bold"/>
                <w:sz w:val="22"/>
              </w:rPr>
              <w:t xml:space="preserve"> </w:t>
            </w:r>
            <w:r>
              <w:rPr>
                <w:rFonts w:ascii="Times New Roman Italic" w:hAnsi="Times New Roman Italic"/>
                <w:sz w:val="22"/>
              </w:rPr>
              <w:t>(MM/</w:t>
            </w:r>
            <w:proofErr w:type="spellStart"/>
            <w:r>
              <w:rPr>
                <w:rFonts w:ascii="Times New Roman Italic" w:hAnsi="Times New Roman Italic"/>
                <w:sz w:val="22"/>
              </w:rPr>
              <w:t>dd</w:t>
            </w:r>
            <w:proofErr w:type="spellEnd"/>
            <w:r>
              <w:rPr>
                <w:rFonts w:ascii="Times New Roman Italic" w:hAnsi="Times New Roman Italic"/>
                <w:sz w:val="22"/>
              </w:rPr>
              <w:t>/</w:t>
            </w:r>
            <w:proofErr w:type="spellStart"/>
            <w:r>
              <w:rPr>
                <w:rFonts w:ascii="Times New Roman Italic" w:hAnsi="Times New Roman Italic"/>
                <w:sz w:val="22"/>
              </w:rPr>
              <w:t>yyyy</w:t>
            </w:r>
            <w:proofErr w:type="spellEnd"/>
            <w:r>
              <w:rPr>
                <w:rFonts w:ascii="Times New Roman Italic" w:hAnsi="Times New Roman Italic"/>
                <w:sz w:val="22"/>
              </w:rPr>
              <w:t>)</w:t>
            </w:r>
          </w:p>
        </w:tc>
      </w:tr>
      <w:tr w:rsidR="007B2875">
        <w:trPr>
          <w:cantSplit/>
          <w:trHeight w:val="480"/>
        </w:trPr>
        <w:tc>
          <w:tcPr>
            <w:tcW w:w="228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2"/>
              </w:rPr>
            </w:pPr>
            <w:r>
              <w:rPr>
                <w:sz w:val="22"/>
              </w:rPr>
              <w:t>Cristina Morales</w:t>
            </w:r>
          </w:p>
        </w:tc>
        <w:tc>
          <w:tcPr>
            <w:tcW w:w="230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2"/>
              </w:rPr>
            </w:pPr>
            <w:r>
              <w:rPr>
                <w:sz w:val="22"/>
              </w:rPr>
              <w:t>Minister</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both"/>
              <w:rPr>
                <w:rFonts w:ascii="Times New Roman Bold" w:hAnsi="Times New Roman Bold"/>
                <w:smallCaps/>
                <w:sz w:val="22"/>
              </w:rPr>
            </w:pPr>
            <w:r>
              <w:rPr>
                <w:rFonts w:ascii="Times New Roman Bold" w:hAnsi="Times New Roman Bold"/>
                <w:smallCaps/>
                <w:sz w:val="22"/>
              </w:rPr>
              <w:t xml:space="preserve">Ministry of the </w:t>
            </w:r>
            <w:proofErr w:type="spellStart"/>
            <w:r>
              <w:rPr>
                <w:rFonts w:ascii="Times New Roman Bold" w:hAnsi="Times New Roman Bold"/>
                <w:smallCaps/>
                <w:sz w:val="22"/>
              </w:rPr>
              <w:t>Environemnt</w:t>
            </w:r>
            <w:proofErr w:type="spellEnd"/>
          </w:p>
        </w:tc>
        <w:tc>
          <w:tcPr>
            <w:tcW w:w="24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both"/>
              <w:rPr>
                <w:rFonts w:ascii="Times New Roman Bold" w:hAnsi="Times New Roman Bold"/>
                <w:smallCaps/>
                <w:sz w:val="22"/>
              </w:rPr>
            </w:pPr>
            <w:r>
              <w:rPr>
                <w:rFonts w:ascii="Times New Roman Bold" w:hAnsi="Times New Roman Bold"/>
                <w:smallCaps/>
                <w:sz w:val="22"/>
              </w:rPr>
              <w:t>01/02/2014</w:t>
            </w:r>
          </w:p>
        </w:tc>
      </w:tr>
      <w:tr w:rsidR="007B2875">
        <w:trPr>
          <w:cantSplit/>
          <w:trHeight w:val="330"/>
        </w:trPr>
        <w:tc>
          <w:tcPr>
            <w:tcW w:w="228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2"/>
              </w:rPr>
            </w:pPr>
            <w:r>
              <w:rPr>
                <w:sz w:val="22"/>
              </w:rPr>
              <w:t>     </w:t>
            </w:r>
          </w:p>
        </w:tc>
        <w:tc>
          <w:tcPr>
            <w:tcW w:w="230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2"/>
              </w:rPr>
            </w:pPr>
            <w:r>
              <w:rPr>
                <w:sz w:val="22"/>
              </w:rPr>
              <w:t>     </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both"/>
              <w:rPr>
                <w:rFonts w:ascii="Times New Roman Bold" w:hAnsi="Times New Roman Bold"/>
                <w:smallCaps/>
                <w:sz w:val="22"/>
              </w:rPr>
            </w:pPr>
            <w:r>
              <w:rPr>
                <w:rFonts w:ascii="Times New Roman Bold" w:hAnsi="Times New Roman Bold"/>
                <w:smallCaps/>
                <w:sz w:val="22"/>
              </w:rPr>
              <w:t>     </w:t>
            </w:r>
          </w:p>
        </w:tc>
        <w:tc>
          <w:tcPr>
            <w:tcW w:w="24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both"/>
              <w:rPr>
                <w:rFonts w:ascii="Times New Roman Bold" w:hAnsi="Times New Roman Bold"/>
                <w:smallCaps/>
                <w:sz w:val="22"/>
              </w:rPr>
            </w:pPr>
            <w:r>
              <w:rPr>
                <w:rFonts w:ascii="Times New Roman Bold" w:hAnsi="Times New Roman Bold"/>
                <w:smallCaps/>
                <w:sz w:val="22"/>
              </w:rPr>
              <w:t>     </w:t>
            </w:r>
          </w:p>
        </w:tc>
      </w:tr>
      <w:tr w:rsidR="007B2875">
        <w:trPr>
          <w:cantSplit/>
          <w:trHeight w:val="330"/>
        </w:trPr>
        <w:tc>
          <w:tcPr>
            <w:tcW w:w="228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2"/>
              </w:rPr>
            </w:pPr>
            <w:r>
              <w:rPr>
                <w:sz w:val="22"/>
              </w:rPr>
              <w:t>     </w:t>
            </w:r>
          </w:p>
        </w:tc>
        <w:tc>
          <w:tcPr>
            <w:tcW w:w="2303"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2"/>
              </w:rPr>
            </w:pPr>
            <w:r>
              <w:rPr>
                <w:sz w:val="22"/>
              </w:rPr>
              <w:t>     </w:t>
            </w:r>
          </w:p>
        </w:tc>
        <w:tc>
          <w:tcPr>
            <w:tcW w:w="183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both"/>
              <w:rPr>
                <w:rFonts w:ascii="Times New Roman Bold" w:hAnsi="Times New Roman Bold"/>
                <w:smallCaps/>
                <w:sz w:val="22"/>
              </w:rPr>
            </w:pPr>
            <w:r>
              <w:rPr>
                <w:rFonts w:ascii="Times New Roman Bold" w:hAnsi="Times New Roman Bold"/>
                <w:smallCaps/>
                <w:sz w:val="22"/>
              </w:rPr>
              <w:t>     </w:t>
            </w:r>
          </w:p>
        </w:tc>
        <w:tc>
          <w:tcPr>
            <w:tcW w:w="246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both"/>
              <w:rPr>
                <w:rFonts w:ascii="Times New Roman Bold" w:hAnsi="Times New Roman Bold"/>
                <w:smallCaps/>
                <w:sz w:val="22"/>
              </w:rPr>
            </w:pPr>
            <w:r>
              <w:rPr>
                <w:rFonts w:ascii="Times New Roman Bold" w:hAnsi="Times New Roman Bold"/>
                <w:smallCaps/>
                <w:sz w:val="22"/>
              </w:rPr>
              <w:t>     </w:t>
            </w:r>
          </w:p>
        </w:tc>
      </w:tr>
    </w:tbl>
    <w:p w:rsidR="007B2875" w:rsidRDefault="007B2875">
      <w:pPr>
        <w:pStyle w:val="FreeForm"/>
        <w:ind w:left="5"/>
        <w:rPr>
          <w:sz w:val="22"/>
        </w:rPr>
      </w:pPr>
    </w:p>
    <w:p w:rsidR="007B2875" w:rsidRDefault="007B2875">
      <w:pPr>
        <w:pStyle w:val="FreeFormA"/>
        <w:ind w:left="468"/>
        <w:rPr>
          <w:sz w:val="22"/>
        </w:rPr>
      </w:pPr>
    </w:p>
    <w:p w:rsidR="007B2875" w:rsidRDefault="00BF1DCA">
      <w:pPr>
        <w:numPr>
          <w:ilvl w:val="0"/>
          <w:numId w:val="6"/>
        </w:numPr>
        <w:tabs>
          <w:tab w:val="clear" w:pos="360"/>
          <w:tab w:val="num" w:pos="720"/>
        </w:tabs>
        <w:spacing w:before="240" w:after="240"/>
        <w:ind w:left="720" w:hanging="360"/>
        <w:rPr>
          <w:sz w:val="22"/>
        </w:rPr>
      </w:pPr>
      <w:r>
        <w:rPr>
          <w:rFonts w:ascii="Times New Roman Bold" w:hAnsi="Times New Roman Bold"/>
          <w:smallCaps/>
          <w:sz w:val="22"/>
        </w:rPr>
        <w:t>GEF AGENCY(IES) Certification</w:t>
      </w:r>
    </w:p>
    <w:tbl>
      <w:tblPr>
        <w:tblW w:w="0" w:type="auto"/>
        <w:tblInd w:w="5" w:type="dxa"/>
        <w:tblLayout w:type="fixed"/>
        <w:tblLook w:val="0000"/>
      </w:tblPr>
      <w:tblGrid>
        <w:gridCol w:w="1410"/>
        <w:gridCol w:w="1105"/>
        <w:gridCol w:w="1425"/>
        <w:gridCol w:w="976"/>
        <w:gridCol w:w="1284"/>
        <w:gridCol w:w="2682"/>
      </w:tblGrid>
      <w:tr w:rsidR="007B2875">
        <w:trPr>
          <w:cantSplit/>
          <w:trHeight w:val="720"/>
        </w:trPr>
        <w:tc>
          <w:tcPr>
            <w:tcW w:w="8882" w:type="dxa"/>
            <w:gridSpan w:val="6"/>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rFonts w:ascii="Times New Roman Bold" w:hAnsi="Times New Roman Bold"/>
                <w:sz w:val="22"/>
              </w:rPr>
            </w:pPr>
            <w:r>
              <w:rPr>
                <w:rFonts w:ascii="Times New Roman Bold" w:hAnsi="Times New Roman Bold"/>
                <w:sz w:val="22"/>
              </w:rPr>
              <w:t>This request has been prepared in accordance with GEF/LDCF/SCCF/NPIF policies and procedures and meets the GEF/LDCF/SCCF/NPIF criteria for project identification and preparation.</w:t>
            </w:r>
          </w:p>
        </w:tc>
      </w:tr>
      <w:tr w:rsidR="007B2875">
        <w:trPr>
          <w:cantSplit/>
          <w:trHeight w:val="720"/>
        </w:trPr>
        <w:tc>
          <w:tcPr>
            <w:tcW w:w="141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rFonts w:ascii="Times New Roman Bold" w:hAnsi="Times New Roman Bold"/>
                <w:sz w:val="22"/>
              </w:rPr>
            </w:pPr>
            <w:r>
              <w:rPr>
                <w:rFonts w:ascii="Times New Roman Bold" w:hAnsi="Times New Roman Bold"/>
                <w:sz w:val="22"/>
              </w:rPr>
              <w:t>Agency Coordinator, Agency name</w:t>
            </w:r>
          </w:p>
        </w:tc>
        <w:tc>
          <w:tcPr>
            <w:tcW w:w="110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pPr>
              <w:jc w:val="center"/>
              <w:rPr>
                <w:rFonts w:ascii="Times New Roman Bold" w:hAnsi="Times New Roman Bold"/>
                <w:sz w:val="22"/>
              </w:rPr>
            </w:pPr>
          </w:p>
          <w:p w:rsidR="007B2875" w:rsidRDefault="00BF1DCA">
            <w:pPr>
              <w:jc w:val="center"/>
              <w:rPr>
                <w:rFonts w:ascii="Times New Roman Bold" w:hAnsi="Times New Roman Bold"/>
                <w:sz w:val="22"/>
              </w:rPr>
            </w:pPr>
            <w:r>
              <w:rPr>
                <w:rFonts w:ascii="Times New Roman Bold" w:hAnsi="Times New Roman Bold"/>
                <w:sz w:val="22"/>
              </w:rPr>
              <w:t>Signature</w:t>
            </w:r>
          </w:p>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center"/>
              <w:rPr>
                <w:rFonts w:ascii="Times New Roman Italic" w:hAnsi="Times New Roman Italic"/>
                <w:sz w:val="22"/>
              </w:rPr>
            </w:pPr>
            <w:r>
              <w:rPr>
                <w:rFonts w:ascii="Times New Roman Bold" w:hAnsi="Times New Roman Bold"/>
                <w:smallCaps/>
                <w:sz w:val="22"/>
              </w:rPr>
              <w:t>Date</w:t>
            </w:r>
            <w:r>
              <w:rPr>
                <w:rFonts w:ascii="Times New Roman Bold" w:hAnsi="Times New Roman Bold"/>
                <w:sz w:val="22"/>
              </w:rPr>
              <w:t xml:space="preserve"> </w:t>
            </w:r>
            <w:r>
              <w:rPr>
                <w:rFonts w:ascii="Times New Roman Italic" w:hAnsi="Times New Roman Italic"/>
                <w:sz w:val="22"/>
              </w:rPr>
              <w:t>(MM/</w:t>
            </w:r>
            <w:proofErr w:type="spellStart"/>
            <w:r>
              <w:rPr>
                <w:rFonts w:ascii="Times New Roman Italic" w:hAnsi="Times New Roman Italic"/>
                <w:sz w:val="22"/>
              </w:rPr>
              <w:t>dd</w:t>
            </w:r>
            <w:proofErr w:type="spellEnd"/>
            <w:r>
              <w:rPr>
                <w:rFonts w:ascii="Times New Roman Italic" w:hAnsi="Times New Roman Italic"/>
                <w:sz w:val="22"/>
              </w:rPr>
              <w:t>/</w:t>
            </w:r>
            <w:proofErr w:type="spellStart"/>
            <w:r>
              <w:rPr>
                <w:rFonts w:ascii="Times New Roman Italic" w:hAnsi="Times New Roman Italic"/>
                <w:sz w:val="22"/>
              </w:rPr>
              <w:t>yyyy</w:t>
            </w:r>
            <w:proofErr w:type="spellEnd"/>
            <w:r>
              <w:rPr>
                <w:rFonts w:ascii="Times New Roman Italic" w:hAnsi="Times New Roman Italic"/>
                <w:sz w:val="22"/>
              </w:rPr>
              <w:t>)</w:t>
            </w:r>
          </w:p>
        </w:tc>
        <w:tc>
          <w:tcPr>
            <w:tcW w:w="97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center"/>
              <w:rPr>
                <w:rFonts w:ascii="Times New Roman Bold" w:hAnsi="Times New Roman Bold"/>
                <w:sz w:val="22"/>
              </w:rPr>
            </w:pPr>
            <w:r>
              <w:rPr>
                <w:rFonts w:ascii="Times New Roman Bold" w:hAnsi="Times New Roman Bold"/>
                <w:sz w:val="22"/>
              </w:rPr>
              <w:t>Project Contact Person</w:t>
            </w:r>
          </w:p>
        </w:tc>
        <w:tc>
          <w:tcPr>
            <w:tcW w:w="128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pPr>
              <w:jc w:val="center"/>
              <w:rPr>
                <w:rFonts w:ascii="Times New Roman Bold" w:hAnsi="Times New Roman Bold"/>
                <w:sz w:val="22"/>
              </w:rPr>
            </w:pPr>
          </w:p>
          <w:p w:rsidR="007B2875" w:rsidRDefault="00BF1DCA">
            <w:pPr>
              <w:jc w:val="center"/>
              <w:rPr>
                <w:rFonts w:ascii="Times New Roman Bold" w:hAnsi="Times New Roman Bold"/>
                <w:sz w:val="22"/>
              </w:rPr>
            </w:pPr>
            <w:r>
              <w:rPr>
                <w:rFonts w:ascii="Times New Roman Bold" w:hAnsi="Times New Roman Bold"/>
                <w:sz w:val="22"/>
              </w:rPr>
              <w:t>Telephone</w:t>
            </w:r>
          </w:p>
        </w:tc>
        <w:tc>
          <w:tcPr>
            <w:tcW w:w="2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center"/>
              <w:rPr>
                <w:rFonts w:ascii="Times New Roman Bold" w:hAnsi="Times New Roman Bold"/>
                <w:sz w:val="22"/>
              </w:rPr>
            </w:pPr>
            <w:r>
              <w:rPr>
                <w:rFonts w:ascii="Times New Roman Bold" w:hAnsi="Times New Roman Bold"/>
                <w:sz w:val="22"/>
              </w:rPr>
              <w:t>Email</w:t>
            </w:r>
          </w:p>
        </w:tc>
      </w:tr>
      <w:tr w:rsidR="007B2875">
        <w:trPr>
          <w:cantSplit/>
          <w:trHeight w:val="960"/>
        </w:trPr>
        <w:tc>
          <w:tcPr>
            <w:tcW w:w="141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2"/>
              </w:rPr>
            </w:pPr>
            <w:r>
              <w:rPr>
                <w:sz w:val="22"/>
              </w:rPr>
              <w:t>Lilian Spijkerman, Conservation International</w:t>
            </w:r>
          </w:p>
        </w:tc>
        <w:tc>
          <w:tcPr>
            <w:tcW w:w="110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2"/>
              </w:rPr>
            </w:pPr>
            <w:r>
              <w:rPr>
                <w:sz w:val="22"/>
              </w:rPr>
              <w:t>01/27/2014</w:t>
            </w:r>
          </w:p>
        </w:tc>
        <w:tc>
          <w:tcPr>
            <w:tcW w:w="97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both"/>
              <w:rPr>
                <w:sz w:val="22"/>
              </w:rPr>
            </w:pPr>
            <w:r>
              <w:rPr>
                <w:sz w:val="22"/>
              </w:rPr>
              <w:t>Orissa Samaroo</w:t>
            </w:r>
          </w:p>
        </w:tc>
        <w:tc>
          <w:tcPr>
            <w:tcW w:w="128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both"/>
              <w:rPr>
                <w:sz w:val="22"/>
              </w:rPr>
            </w:pPr>
            <w:r>
              <w:rPr>
                <w:sz w:val="22"/>
              </w:rPr>
              <w:t>7033412550</w:t>
            </w:r>
          </w:p>
        </w:tc>
        <w:tc>
          <w:tcPr>
            <w:tcW w:w="2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both"/>
              <w:rPr>
                <w:sz w:val="22"/>
              </w:rPr>
            </w:pPr>
            <w:r>
              <w:rPr>
                <w:sz w:val="22"/>
              </w:rPr>
              <w:t>osamaroo@conservation.org</w:t>
            </w:r>
          </w:p>
        </w:tc>
      </w:tr>
      <w:tr w:rsidR="007B2875">
        <w:trPr>
          <w:cantSplit/>
          <w:trHeight w:val="330"/>
        </w:trPr>
        <w:tc>
          <w:tcPr>
            <w:tcW w:w="141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2"/>
              </w:rPr>
            </w:pPr>
            <w:r>
              <w:rPr>
                <w:sz w:val="22"/>
              </w:rPr>
              <w:t>     </w:t>
            </w:r>
          </w:p>
        </w:tc>
        <w:tc>
          <w:tcPr>
            <w:tcW w:w="110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2"/>
              </w:rPr>
            </w:pPr>
            <w:r>
              <w:rPr>
                <w:sz w:val="22"/>
              </w:rPr>
              <w:t>     </w:t>
            </w:r>
          </w:p>
        </w:tc>
        <w:tc>
          <w:tcPr>
            <w:tcW w:w="97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both"/>
              <w:rPr>
                <w:sz w:val="22"/>
              </w:rPr>
            </w:pPr>
            <w:r>
              <w:rPr>
                <w:sz w:val="22"/>
              </w:rPr>
              <w:t>     </w:t>
            </w:r>
          </w:p>
        </w:tc>
        <w:tc>
          <w:tcPr>
            <w:tcW w:w="128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both"/>
              <w:rPr>
                <w:sz w:val="22"/>
              </w:rPr>
            </w:pPr>
            <w:r>
              <w:rPr>
                <w:sz w:val="22"/>
              </w:rPr>
              <w:t>     </w:t>
            </w:r>
          </w:p>
        </w:tc>
        <w:tc>
          <w:tcPr>
            <w:tcW w:w="2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both"/>
              <w:rPr>
                <w:sz w:val="22"/>
              </w:rPr>
            </w:pPr>
            <w:r>
              <w:rPr>
                <w:sz w:val="22"/>
              </w:rPr>
              <w:t>     </w:t>
            </w:r>
          </w:p>
        </w:tc>
      </w:tr>
      <w:tr w:rsidR="007B2875">
        <w:trPr>
          <w:cantSplit/>
          <w:trHeight w:val="330"/>
        </w:trPr>
        <w:tc>
          <w:tcPr>
            <w:tcW w:w="141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2"/>
              </w:rPr>
            </w:pPr>
            <w:r>
              <w:rPr>
                <w:sz w:val="22"/>
              </w:rPr>
              <w:t>     </w:t>
            </w:r>
          </w:p>
        </w:tc>
        <w:tc>
          <w:tcPr>
            <w:tcW w:w="110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7B2875"/>
        </w:tc>
        <w:tc>
          <w:tcPr>
            <w:tcW w:w="1425"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rPr>
                <w:sz w:val="22"/>
              </w:rPr>
            </w:pPr>
            <w:r>
              <w:rPr>
                <w:sz w:val="22"/>
              </w:rPr>
              <w:t>     </w:t>
            </w:r>
          </w:p>
        </w:tc>
        <w:tc>
          <w:tcPr>
            <w:tcW w:w="976"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both"/>
              <w:rPr>
                <w:sz w:val="22"/>
              </w:rPr>
            </w:pPr>
            <w:r>
              <w:rPr>
                <w:sz w:val="22"/>
              </w:rPr>
              <w:t>     </w:t>
            </w:r>
          </w:p>
        </w:tc>
        <w:tc>
          <w:tcPr>
            <w:tcW w:w="1284"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both"/>
              <w:rPr>
                <w:sz w:val="22"/>
              </w:rPr>
            </w:pPr>
            <w:r>
              <w:rPr>
                <w:sz w:val="22"/>
              </w:rPr>
              <w:t>     </w:t>
            </w:r>
          </w:p>
        </w:tc>
        <w:tc>
          <w:tcPr>
            <w:tcW w:w="2680" w:type="dxa"/>
            <w:tcBorders>
              <w:top w:val="single" w:sz="4" w:space="0" w:color="000000"/>
              <w:left w:val="single" w:sz="4" w:space="0" w:color="000000"/>
              <w:bottom w:val="single" w:sz="4" w:space="0" w:color="000000"/>
              <w:right w:val="single" w:sz="4" w:space="0" w:color="000000"/>
            </w:tcBorders>
            <w:shd w:val="clear" w:color="auto" w:fill="auto"/>
            <w:tcMar>
              <w:top w:w="0" w:type="dxa"/>
              <w:left w:w="0" w:type="dxa"/>
              <w:bottom w:w="0" w:type="dxa"/>
              <w:right w:w="0" w:type="dxa"/>
            </w:tcMar>
          </w:tcPr>
          <w:p w:rsidR="007B2875" w:rsidRDefault="00BF1DCA">
            <w:pPr>
              <w:jc w:val="both"/>
              <w:rPr>
                <w:sz w:val="22"/>
              </w:rPr>
            </w:pPr>
            <w:r>
              <w:rPr>
                <w:sz w:val="22"/>
              </w:rPr>
              <w:t>     </w:t>
            </w:r>
          </w:p>
        </w:tc>
      </w:tr>
    </w:tbl>
    <w:p w:rsidR="007B2875" w:rsidRDefault="007B2875">
      <w:pPr>
        <w:pStyle w:val="FreeForm"/>
        <w:ind w:left="5"/>
        <w:rPr>
          <w:sz w:val="22"/>
        </w:rPr>
      </w:pPr>
    </w:p>
    <w:p w:rsidR="007B2875" w:rsidRDefault="007B2875">
      <w:pPr>
        <w:pStyle w:val="FreeFormA"/>
        <w:ind w:left="468"/>
        <w:rPr>
          <w:sz w:val="22"/>
        </w:rPr>
      </w:pPr>
    </w:p>
    <w:p w:rsidR="007B2875" w:rsidRDefault="007B2875">
      <w:pPr>
        <w:pStyle w:val="Footer1"/>
        <w:tabs>
          <w:tab w:val="clear" w:pos="4320"/>
          <w:tab w:val="clear" w:pos="8640"/>
        </w:tabs>
        <w:spacing w:before="240" w:after="80"/>
        <w:rPr>
          <w:rFonts w:ascii="Times New Roman Bold" w:hAnsi="Times New Roman Bold"/>
          <w:smallCaps/>
          <w:sz w:val="22"/>
        </w:rPr>
      </w:pPr>
    </w:p>
    <w:p w:rsidR="007B2875" w:rsidRDefault="007B2875">
      <w:pPr>
        <w:pStyle w:val="FreeForm"/>
        <w:rPr>
          <w:rFonts w:ascii="Times New Roman Bold" w:hAnsi="Times New Roman Bold"/>
          <w:smallCaps/>
          <w:sz w:val="22"/>
        </w:rPr>
        <w:sectPr w:rsidR="007B2875">
          <w:headerReference w:type="even" r:id="rId14"/>
          <w:headerReference w:type="default" r:id="rId15"/>
          <w:footerReference w:type="even" r:id="rId16"/>
          <w:footerReference w:type="default" r:id="rId17"/>
          <w:pgSz w:w="12240" w:h="15840"/>
          <w:pgMar w:top="1152" w:right="1080" w:bottom="1152" w:left="1800" w:header="720" w:footer="0" w:gutter="0"/>
          <w:cols w:space="720"/>
        </w:sectPr>
      </w:pPr>
    </w:p>
    <w:p w:rsidR="007B2875" w:rsidRDefault="007B2875">
      <w:pPr>
        <w:pStyle w:val="Footer1"/>
        <w:tabs>
          <w:tab w:val="clear" w:pos="4320"/>
          <w:tab w:val="clear" w:pos="8640"/>
        </w:tabs>
        <w:rPr>
          <w:rFonts w:eastAsia="Times New Roman"/>
          <w:color w:val="auto"/>
          <w:sz w:val="20"/>
        </w:rPr>
      </w:pPr>
    </w:p>
    <w:sectPr w:rsidR="007B2875" w:rsidSect="007B2875">
      <w:headerReference w:type="even" r:id="rId18"/>
      <w:headerReference w:type="default" r:id="rId19"/>
      <w:footerReference w:type="even" r:id="rId20"/>
      <w:footerReference w:type="default" r:id="rId21"/>
      <w:pgSz w:w="12240" w:h="15840"/>
      <w:pgMar w:top="1152" w:right="1080" w:bottom="1152" w:left="1800" w:header="72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1BC8" w:rsidRDefault="00291BC8" w:rsidP="001173A3">
      <w:r>
        <w:separator/>
      </w:r>
    </w:p>
  </w:endnote>
  <w:endnote w:type="continuationSeparator" w:id="0">
    <w:p w:rsidR="00291BC8" w:rsidRDefault="00291BC8" w:rsidP="001173A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ヒラギノ角ゴ Pro W3">
    <w:charset w:val="00"/>
    <w:family w:val="roman"/>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Lucida Grande">
    <w:altName w:val="Times New Roman"/>
    <w:charset w:val="00"/>
    <w:family w:val="roman"/>
    <w:pitch w:val="default"/>
    <w:sig w:usb0="00000000" w:usb1="00000000" w:usb2="00000000" w:usb3="00000000" w:csb0="00000000" w:csb1="00000000"/>
  </w:font>
  <w:font w:name="Times New Roman Bold Italic">
    <w:panose1 w:val="02020703060505090304"/>
    <w:charset w:val="00"/>
    <w:family w:val="roman"/>
    <w:pitch w:val="default"/>
    <w:sig w:usb0="00000000" w:usb1="00000000" w:usb2="00000000" w:usb3="00000000" w:csb0="00000000" w:csb1="00000000"/>
  </w:font>
  <w:font w:name="Times New Roman Italic">
    <w:panose1 w:val="02020503050405090304"/>
    <w:charset w:val="00"/>
    <w:family w:val="roman"/>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73A3" w:rsidRDefault="001173A3">
    <w:pPr>
      <w:pStyle w:val="Footer1"/>
      <w:ind w:right="360"/>
      <w:rPr>
        <w:color w:val="737473"/>
        <w:sz w:val="16"/>
      </w:rPr>
    </w:pPr>
    <w:r>
      <w:rPr>
        <w:color w:val="737473"/>
        <w:sz w:val="16"/>
      </w:rPr>
      <w:t xml:space="preserve">                      </w:t>
    </w:r>
  </w:p>
  <w:p w:rsidR="001173A3" w:rsidRDefault="001173A3">
    <w:pPr>
      <w:pStyle w:val="Footer1"/>
      <w:rPr>
        <w:color w:val="737473"/>
        <w:sz w:val="16"/>
      </w:rPr>
    </w:pPr>
    <w:r>
      <w:rPr>
        <w:color w:val="737473"/>
        <w:sz w:val="16"/>
      </w:rPr>
      <w:t>GEF-5 PIF Template-February 2013</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73A3" w:rsidRDefault="001173A3">
    <w:pPr>
      <w:pStyle w:val="Footer1"/>
      <w:ind w:right="360"/>
      <w:rPr>
        <w:color w:val="737473"/>
        <w:sz w:val="16"/>
      </w:rPr>
    </w:pPr>
    <w:r>
      <w:rPr>
        <w:color w:val="737473"/>
        <w:sz w:val="16"/>
      </w:rPr>
      <w:t xml:space="preserve">                      </w:t>
    </w:r>
  </w:p>
  <w:p w:rsidR="001173A3" w:rsidRDefault="001173A3">
    <w:pPr>
      <w:pStyle w:val="Footer1"/>
      <w:rPr>
        <w:color w:val="737473"/>
        <w:sz w:val="16"/>
      </w:rPr>
    </w:pPr>
    <w:r>
      <w:rPr>
        <w:color w:val="737473"/>
        <w:sz w:val="16"/>
      </w:rPr>
      <w:t>GEF-5 PIF Template-February 2013</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73A3" w:rsidRDefault="001173A3">
    <w:pPr>
      <w:pStyle w:val="Footer1"/>
      <w:ind w:right="360"/>
      <w:rPr>
        <w:color w:val="737473"/>
        <w:sz w:val="16"/>
      </w:rPr>
    </w:pPr>
    <w:r>
      <w:rPr>
        <w:color w:val="737473"/>
        <w:sz w:val="16"/>
      </w:rPr>
      <w:t xml:space="preserve">                      </w:t>
    </w:r>
  </w:p>
  <w:p w:rsidR="001173A3" w:rsidRDefault="001173A3">
    <w:pPr>
      <w:pStyle w:val="Footer1"/>
      <w:rPr>
        <w:color w:val="737473"/>
        <w:sz w:val="16"/>
      </w:rPr>
    </w:pPr>
    <w:r>
      <w:rPr>
        <w:color w:val="737473"/>
        <w:sz w:val="16"/>
      </w:rPr>
      <w:t>GEF-5 PIF Template-February 2013</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73A3" w:rsidRDefault="001173A3">
    <w:pPr>
      <w:pStyle w:val="Footer1"/>
      <w:ind w:right="360"/>
      <w:rPr>
        <w:color w:val="737473"/>
        <w:sz w:val="16"/>
      </w:rPr>
    </w:pPr>
    <w:r>
      <w:rPr>
        <w:color w:val="737473"/>
        <w:sz w:val="16"/>
      </w:rPr>
      <w:t xml:space="preserve">                      </w:t>
    </w:r>
  </w:p>
  <w:p w:rsidR="001173A3" w:rsidRDefault="001173A3">
    <w:pPr>
      <w:pStyle w:val="Footer1"/>
      <w:rPr>
        <w:color w:val="737473"/>
        <w:sz w:val="16"/>
      </w:rPr>
    </w:pPr>
    <w:r>
      <w:rPr>
        <w:color w:val="737473"/>
        <w:sz w:val="16"/>
      </w:rPr>
      <w:t>GEF-5 PIF Template-February 2013</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1BC8" w:rsidRDefault="00291BC8" w:rsidP="001173A3">
      <w:r>
        <w:separator/>
      </w:r>
    </w:p>
  </w:footnote>
  <w:footnote w:type="continuationSeparator" w:id="0">
    <w:p w:rsidR="00291BC8" w:rsidRDefault="00291BC8" w:rsidP="001173A3">
      <w:r>
        <w:continuationSeparator/>
      </w:r>
    </w:p>
  </w:footnote>
  <w:footnote w:id="1">
    <w:p w:rsidR="001173A3" w:rsidRDefault="001173A3">
      <w:pPr>
        <w:pStyle w:val="FootnoteText1"/>
        <w:rPr>
          <w:rFonts w:eastAsia="Times New Roman"/>
          <w:color w:val="auto"/>
        </w:rPr>
      </w:pPr>
      <w:r>
        <w:rPr>
          <w:rStyle w:val="FootnoteReference1"/>
        </w:rPr>
        <w:footnoteRef/>
      </w:r>
      <w:r>
        <w:t xml:space="preserve">   </w:t>
      </w:r>
      <w:r>
        <w:rPr>
          <w:sz w:val="18"/>
        </w:rPr>
        <w:t xml:space="preserve">Refer to the reference attached on the </w:t>
      </w:r>
      <w:hyperlink r:id="rId1" w:history="1">
        <w:r>
          <w:rPr>
            <w:rStyle w:val="Hyperlink1"/>
            <w:sz w:val="18"/>
          </w:rPr>
          <w:t>Focal Area Results Framework and LDCF/SCCF Framework</w:t>
        </w:r>
      </w:hyperlink>
      <w:r>
        <w:rPr>
          <w:sz w:val="18"/>
        </w:rPr>
        <w:t xml:space="preserve"> when completing Table A.</w:t>
      </w:r>
    </w:p>
  </w:footnote>
  <w:footnote w:id="2">
    <w:p w:rsidR="001173A3" w:rsidRDefault="001173A3">
      <w:pPr>
        <w:pStyle w:val="Footer1"/>
        <w:rPr>
          <w:rFonts w:eastAsia="Times New Roman"/>
          <w:color w:val="auto"/>
          <w:sz w:val="20"/>
        </w:rPr>
      </w:pPr>
      <w:r>
        <w:rPr>
          <w:rStyle w:val="FootnoteReference1"/>
          <w:sz w:val="24"/>
        </w:rPr>
        <w:footnoteRef/>
      </w:r>
      <w:r>
        <w:t xml:space="preserve">  </w:t>
      </w:r>
      <w:r>
        <w:rPr>
          <w:sz w:val="20"/>
        </w:rPr>
        <w:t>On an exceptional basis, PPG amount may differ upon detailed discussion and justification with the GEFSEC.</w:t>
      </w:r>
    </w:p>
  </w:footnote>
  <w:footnote w:id="3">
    <w:p w:rsidR="001173A3" w:rsidRDefault="001173A3">
      <w:pPr>
        <w:pStyle w:val="FootnoteText1"/>
        <w:rPr>
          <w:rFonts w:eastAsia="Times New Roman"/>
          <w:color w:val="auto"/>
        </w:rPr>
      </w:pPr>
      <w:r>
        <w:rPr>
          <w:rStyle w:val="FootnoteReference1"/>
        </w:rPr>
        <w:footnoteRef/>
      </w:r>
      <w:r>
        <w:t xml:space="preserve">   PPG fee percentage follows the percentage of the GEF Project Grant amount requested.</w:t>
      </w:r>
    </w:p>
  </w:footnote>
  <w:footnote w:id="4">
    <w:p w:rsidR="001173A3" w:rsidRDefault="001173A3">
      <w:pPr>
        <w:pStyle w:val="FootnoteText1"/>
        <w:rPr>
          <w:rFonts w:eastAsia="Times New Roman"/>
          <w:color w:val="auto"/>
        </w:rPr>
      </w:pPr>
      <w:r>
        <w:rPr>
          <w:rStyle w:val="FootnoteReference1"/>
        </w:rPr>
        <w:footnoteRef/>
      </w:r>
      <w:r>
        <w:t xml:space="preserve">  </w:t>
      </w:r>
      <w:r>
        <w:rPr>
          <w:sz w:val="18"/>
        </w:rPr>
        <w:t>Part II should not be longer than 5 pages.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73A3" w:rsidRDefault="001173A3">
    <w:pPr>
      <w:pStyle w:val="FreeFormA"/>
      <w:rPr>
        <w:rFonts w:eastAsia="Times New Roman"/>
        <w:color w:val="auto"/>
      </w:rPr>
    </w:pPr>
    <w:r>
      <w:cr/>
    </w:r>
    <w:r w:rsidR="00E96D06" w:rsidRPr="00E96D06">
      <w:rPr>
        <w:noProof/>
      </w:rPr>
      <w:pict>
        <v:rect id="_x0000_s1026" style="position:absolute;margin-left:558pt;margin-top:774.05pt;width:12pt;height:11pt;z-index:-251659264;mso-position-horizontal-relative:page;mso-position-vertical-relative:page" coordsize="21600,21600" stroked="f" strokeweight="1pt">
          <v:fill o:detectmouseclick="t"/>
          <v:stroke joinstyle="round"/>
          <v:path arrowok="t" o:connectlocs="10800,10800"/>
          <v:textbox inset="0,0,0,0">
            <w:txbxContent>
              <w:p w:rsidR="001173A3" w:rsidRDefault="00E96D06">
                <w:pPr>
                  <w:pStyle w:val="Footer1"/>
                  <w:rPr>
                    <w:rFonts w:eastAsia="Times New Roman"/>
                    <w:color w:val="auto"/>
                    <w:sz w:val="20"/>
                  </w:rPr>
                </w:pPr>
                <w:r>
                  <w:rPr>
                    <w:rStyle w:val="PageNumber1"/>
                  </w:rPr>
                  <w:fldChar w:fldCharType="begin"/>
                </w:r>
                <w:r w:rsidR="001173A3">
                  <w:rPr>
                    <w:rStyle w:val="PageNumber1"/>
                  </w:rPr>
                  <w:instrText xml:space="preserve"> PAGE </w:instrText>
                </w:r>
                <w:r>
                  <w:rPr>
                    <w:rStyle w:val="PageNumber1"/>
                  </w:rPr>
                  <w:fldChar w:fldCharType="separate"/>
                </w:r>
                <w:r w:rsidR="00167D69">
                  <w:rPr>
                    <w:rStyle w:val="PageNumber1"/>
                    <w:noProof/>
                  </w:rPr>
                  <w:t>26</w:t>
                </w:r>
                <w:r>
                  <w:rPr>
                    <w:rStyle w:val="PageNumber1"/>
                  </w:rPr>
                  <w:fldChar w:fldCharType="end"/>
                </w:r>
              </w:p>
            </w:txbxContent>
          </v:textbox>
          <w10:wrap anchorx="page" anchory="page"/>
        </v:rect>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73A3" w:rsidRDefault="001173A3">
    <w:pPr>
      <w:pStyle w:val="FreeFormA"/>
      <w:rPr>
        <w:rFonts w:eastAsia="Times New Roman"/>
        <w:color w:val="auto"/>
      </w:rPr>
    </w:pPr>
    <w:r>
      <w:cr/>
    </w:r>
    <w:r w:rsidR="00E96D06" w:rsidRPr="00E96D06">
      <w:rPr>
        <w:noProof/>
      </w:rPr>
      <w:pict>
        <v:rect id="_x0000_s1025" style="position:absolute;margin-left:558pt;margin-top:774.05pt;width:12pt;height:11pt;z-index:-251660288;mso-position-horizontal-relative:page;mso-position-vertical-relative:page" coordsize="21600,21600" stroked="f" strokeweight="1pt">
          <v:fill o:detectmouseclick="t"/>
          <v:stroke joinstyle="round"/>
          <v:path arrowok="t" o:connectlocs="10800,10800"/>
          <v:textbox inset="0,0,0,0">
            <w:txbxContent>
              <w:p w:rsidR="001173A3" w:rsidRDefault="00E96D06">
                <w:pPr>
                  <w:pStyle w:val="Footer1"/>
                  <w:rPr>
                    <w:rFonts w:eastAsia="Times New Roman"/>
                    <w:color w:val="auto"/>
                    <w:sz w:val="20"/>
                  </w:rPr>
                </w:pPr>
                <w:r>
                  <w:rPr>
                    <w:rStyle w:val="PageNumber1"/>
                  </w:rPr>
                  <w:fldChar w:fldCharType="begin"/>
                </w:r>
                <w:r w:rsidR="001173A3">
                  <w:rPr>
                    <w:rStyle w:val="PageNumber1"/>
                  </w:rPr>
                  <w:instrText xml:space="preserve"> PAGE </w:instrText>
                </w:r>
                <w:r>
                  <w:rPr>
                    <w:rStyle w:val="PageNumber1"/>
                  </w:rPr>
                  <w:fldChar w:fldCharType="separate"/>
                </w:r>
                <w:r w:rsidR="00167D69">
                  <w:rPr>
                    <w:rStyle w:val="PageNumber1"/>
                    <w:noProof/>
                  </w:rPr>
                  <w:t>25</w:t>
                </w:r>
                <w:r>
                  <w:rPr>
                    <w:rStyle w:val="PageNumber1"/>
                  </w:rPr>
                  <w:fldChar w:fldCharType="end"/>
                </w:r>
              </w:p>
            </w:txbxContent>
          </v:textbox>
          <w10:wrap anchorx="page" anchory="page"/>
        </v:rect>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73A3" w:rsidRDefault="001173A3">
    <w:pPr>
      <w:pStyle w:val="FreeFormA"/>
      <w:rPr>
        <w:rFonts w:eastAsia="Times New Roman"/>
        <w:color w:val="auto"/>
      </w:rPr>
    </w:pPr>
    <w:r>
      <w:cr/>
    </w:r>
    <w:r w:rsidR="00E96D06" w:rsidRPr="00E96D06">
      <w:rPr>
        <w:noProof/>
      </w:rPr>
      <w:pict>
        <v:rect id="_x0000_s1028" style="position:absolute;margin-left:558pt;margin-top:774.05pt;width:12pt;height:11pt;z-index:-251657216;mso-position-horizontal-relative:page;mso-position-vertical-relative:page" coordsize="21600,21600" stroked="f" strokeweight="1pt">
          <v:fill o:detectmouseclick="t"/>
          <v:stroke joinstyle="round"/>
          <v:path arrowok="t" o:connectlocs="10800,10800"/>
          <v:textbox inset="0,0,0,0">
            <w:txbxContent>
              <w:p w:rsidR="001173A3" w:rsidRDefault="00E96D06">
                <w:pPr>
                  <w:pStyle w:val="Footer1"/>
                  <w:rPr>
                    <w:rFonts w:eastAsia="Times New Roman"/>
                    <w:color w:val="auto"/>
                    <w:sz w:val="20"/>
                  </w:rPr>
                </w:pPr>
                <w:r>
                  <w:rPr>
                    <w:rStyle w:val="PageNumber1"/>
                  </w:rPr>
                  <w:fldChar w:fldCharType="begin"/>
                </w:r>
                <w:r w:rsidR="001173A3">
                  <w:rPr>
                    <w:rStyle w:val="PageNumber1"/>
                  </w:rPr>
                  <w:instrText xml:space="preserve"> PAGE </w:instrText>
                </w:r>
                <w:r>
                  <w:rPr>
                    <w:rStyle w:val="PageNumber1"/>
                  </w:rPr>
                  <w:fldChar w:fldCharType="separate"/>
                </w:r>
                <w:r w:rsidR="001173A3">
                  <w:rPr>
                    <w:rStyle w:val="PageNumber1"/>
                    <w:noProof/>
                  </w:rPr>
                  <w:t>28</w:t>
                </w:r>
                <w:r>
                  <w:rPr>
                    <w:rStyle w:val="PageNumber1"/>
                  </w:rPr>
                  <w:fldChar w:fldCharType="end"/>
                </w:r>
              </w:p>
            </w:txbxContent>
          </v:textbox>
          <w10:wrap anchorx="page" anchory="page"/>
        </v:rect>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73A3" w:rsidRDefault="001173A3">
    <w:pPr>
      <w:pStyle w:val="FreeFormA"/>
      <w:rPr>
        <w:rFonts w:eastAsia="Times New Roman"/>
        <w:color w:val="auto"/>
      </w:rPr>
    </w:pPr>
    <w:r>
      <w:cr/>
    </w:r>
    <w:r w:rsidR="00E96D06" w:rsidRPr="00E96D06">
      <w:rPr>
        <w:noProof/>
      </w:rPr>
      <w:pict>
        <v:rect id="_x0000_s1027" style="position:absolute;margin-left:558pt;margin-top:774.05pt;width:12pt;height:11pt;z-index:-251658240;mso-position-horizontal-relative:page;mso-position-vertical-relative:page" coordsize="21600,21600" stroked="f" strokeweight="1pt">
          <v:fill o:detectmouseclick="t"/>
          <v:stroke joinstyle="round"/>
          <v:path arrowok="t" o:connectlocs="10800,10800"/>
          <v:textbox inset="0,0,0,0">
            <w:txbxContent>
              <w:p w:rsidR="001173A3" w:rsidRDefault="00E96D06">
                <w:pPr>
                  <w:pStyle w:val="Footer1"/>
                  <w:rPr>
                    <w:rFonts w:eastAsia="Times New Roman"/>
                    <w:color w:val="auto"/>
                    <w:sz w:val="20"/>
                  </w:rPr>
                </w:pPr>
                <w:r>
                  <w:rPr>
                    <w:rStyle w:val="PageNumber1"/>
                  </w:rPr>
                  <w:fldChar w:fldCharType="begin"/>
                </w:r>
                <w:r w:rsidR="001173A3">
                  <w:rPr>
                    <w:rStyle w:val="PageNumber1"/>
                  </w:rPr>
                  <w:instrText xml:space="preserve"> PAGE </w:instrText>
                </w:r>
                <w:r>
                  <w:rPr>
                    <w:rStyle w:val="PageNumber1"/>
                  </w:rPr>
                  <w:fldChar w:fldCharType="separate"/>
                </w:r>
                <w:r w:rsidR="00167D69">
                  <w:rPr>
                    <w:rStyle w:val="PageNumber1"/>
                    <w:noProof/>
                  </w:rPr>
                  <w:t>27</w:t>
                </w:r>
                <w:r>
                  <w:rPr>
                    <w:rStyle w:val="PageNumber1"/>
                  </w:rPr>
                  <w:fldChar w:fldCharType="end"/>
                </w:r>
              </w:p>
            </w:txbxContent>
          </v:textbox>
          <w10:wrap anchorx="page" anchory="page"/>
        </v: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894EE873"/>
    <w:lvl w:ilvl="0">
      <w:start w:val="1"/>
      <w:numFmt w:val="bullet"/>
      <w:lvlText w:val="·"/>
      <w:lvlJc w:val="left"/>
      <w:pPr>
        <w:tabs>
          <w:tab w:val="num" w:pos="270"/>
        </w:tabs>
        <w:ind w:left="270" w:firstLine="0"/>
      </w:pPr>
      <w:rPr>
        <w:rFonts w:hint="default"/>
        <w:color w:val="000000"/>
        <w:position w:val="0"/>
        <w:sz w:val="24"/>
      </w:rPr>
    </w:lvl>
    <w:lvl w:ilvl="1">
      <w:start w:val="1"/>
      <w:numFmt w:val="bullet"/>
      <w:suff w:val="nothing"/>
      <w:lvlText w:val="o"/>
      <w:lvlJc w:val="left"/>
      <w:pPr>
        <w:ind w:left="0" w:firstLine="1440"/>
      </w:pPr>
      <w:rPr>
        <w:rFonts w:ascii="Courier New" w:eastAsia="ヒラギノ角ゴ Pro W3" w:hAnsi="Courier New" w:hint="default"/>
        <w:color w:val="000000"/>
        <w:position w:val="0"/>
        <w:sz w:val="24"/>
      </w:rPr>
    </w:lvl>
    <w:lvl w:ilvl="2">
      <w:start w:val="1"/>
      <w:numFmt w:val="bullet"/>
      <w:suff w:val="nothing"/>
      <w:lvlText w:val=""/>
      <w:lvlJc w:val="left"/>
      <w:pPr>
        <w:ind w:left="0" w:firstLine="2160"/>
      </w:pPr>
      <w:rPr>
        <w:rFonts w:ascii="Wingdings" w:eastAsia="ヒラギノ角ゴ Pro W3" w:hAnsi="Wingdings" w:hint="default"/>
        <w:color w:val="000000"/>
        <w:position w:val="0"/>
        <w:sz w:val="24"/>
      </w:rPr>
    </w:lvl>
    <w:lvl w:ilvl="3">
      <w:start w:val="1"/>
      <w:numFmt w:val="bullet"/>
      <w:suff w:val="nothing"/>
      <w:lvlText w:val="·"/>
      <w:lvlJc w:val="left"/>
      <w:pPr>
        <w:ind w:left="0" w:firstLine="2880"/>
      </w:pPr>
      <w:rPr>
        <w:rFonts w:hint="default"/>
        <w:color w:val="000000"/>
        <w:position w:val="0"/>
        <w:sz w:val="24"/>
      </w:rPr>
    </w:lvl>
    <w:lvl w:ilvl="4">
      <w:start w:val="1"/>
      <w:numFmt w:val="bullet"/>
      <w:suff w:val="nothing"/>
      <w:lvlText w:val="o"/>
      <w:lvlJc w:val="left"/>
      <w:pPr>
        <w:ind w:left="0" w:firstLine="3600"/>
      </w:pPr>
      <w:rPr>
        <w:rFonts w:ascii="Courier New" w:eastAsia="ヒラギノ角ゴ Pro W3" w:hAnsi="Courier New" w:hint="default"/>
        <w:color w:val="000000"/>
        <w:position w:val="0"/>
        <w:sz w:val="24"/>
      </w:rPr>
    </w:lvl>
    <w:lvl w:ilvl="5">
      <w:start w:val="1"/>
      <w:numFmt w:val="bullet"/>
      <w:suff w:val="nothing"/>
      <w:lvlText w:val=""/>
      <w:lvlJc w:val="left"/>
      <w:pPr>
        <w:ind w:left="0" w:firstLine="4320"/>
      </w:pPr>
      <w:rPr>
        <w:rFonts w:ascii="Wingdings" w:eastAsia="ヒラギノ角ゴ Pro W3" w:hAnsi="Wingdings" w:hint="default"/>
        <w:color w:val="000000"/>
        <w:position w:val="0"/>
        <w:sz w:val="24"/>
      </w:rPr>
    </w:lvl>
    <w:lvl w:ilvl="6">
      <w:start w:val="1"/>
      <w:numFmt w:val="bullet"/>
      <w:suff w:val="nothing"/>
      <w:lvlText w:val="·"/>
      <w:lvlJc w:val="left"/>
      <w:pPr>
        <w:ind w:left="0" w:firstLine="5040"/>
      </w:pPr>
      <w:rPr>
        <w:rFonts w:hint="default"/>
        <w:color w:val="000000"/>
        <w:position w:val="0"/>
        <w:sz w:val="24"/>
      </w:rPr>
    </w:lvl>
    <w:lvl w:ilvl="7">
      <w:start w:val="1"/>
      <w:numFmt w:val="bullet"/>
      <w:suff w:val="nothing"/>
      <w:lvlText w:val="o"/>
      <w:lvlJc w:val="left"/>
      <w:pPr>
        <w:ind w:left="0" w:firstLine="5760"/>
      </w:pPr>
      <w:rPr>
        <w:rFonts w:ascii="Courier New" w:eastAsia="ヒラギノ角ゴ Pro W3" w:hAnsi="Courier New" w:hint="default"/>
        <w:color w:val="000000"/>
        <w:position w:val="0"/>
        <w:sz w:val="24"/>
      </w:rPr>
    </w:lvl>
    <w:lvl w:ilvl="8">
      <w:start w:val="1"/>
      <w:numFmt w:val="bullet"/>
      <w:suff w:val="nothing"/>
      <w:lvlText w:val=""/>
      <w:lvlJc w:val="left"/>
      <w:pPr>
        <w:ind w:left="0" w:firstLine="6480"/>
      </w:pPr>
      <w:rPr>
        <w:rFonts w:ascii="Wingdings" w:eastAsia="ヒラギノ角ゴ Pro W3" w:hAnsi="Wingdings" w:hint="default"/>
        <w:color w:val="000000"/>
        <w:position w:val="0"/>
        <w:sz w:val="24"/>
      </w:rPr>
    </w:lvl>
  </w:abstractNum>
  <w:abstractNum w:abstractNumId="1">
    <w:nsid w:val="00000002"/>
    <w:multiLevelType w:val="multilevel"/>
    <w:tmpl w:val="894EE874"/>
    <w:lvl w:ilvl="0">
      <w:start w:val="2"/>
      <w:numFmt w:val="upperLetter"/>
      <w:lvlText w:val="%1."/>
      <w:lvlJc w:val="left"/>
      <w:pPr>
        <w:tabs>
          <w:tab w:val="num" w:pos="720"/>
        </w:tabs>
        <w:ind w:left="720" w:firstLine="0"/>
      </w:pPr>
      <w:rPr>
        <w:rFonts w:hint="default"/>
        <w:color w:val="000000"/>
        <w:position w:val="0"/>
        <w:sz w:val="24"/>
      </w:rPr>
    </w:lvl>
    <w:lvl w:ilvl="1">
      <w:start w:val="1"/>
      <w:numFmt w:val="lowerLetter"/>
      <w:suff w:val="nothing"/>
      <w:lvlText w:val="%2."/>
      <w:lvlJc w:val="left"/>
      <w:pPr>
        <w:ind w:left="0" w:firstLine="1440"/>
      </w:pPr>
      <w:rPr>
        <w:rFonts w:hint="default"/>
        <w:color w:val="000000"/>
        <w:position w:val="0"/>
        <w:sz w:val="24"/>
      </w:rPr>
    </w:lvl>
    <w:lvl w:ilvl="2">
      <w:start w:val="1"/>
      <w:numFmt w:val="lowerRoman"/>
      <w:suff w:val="nothing"/>
      <w:lvlText w:val="%3."/>
      <w:lvlJc w:val="left"/>
      <w:pPr>
        <w:ind w:left="0" w:firstLine="2160"/>
      </w:pPr>
      <w:rPr>
        <w:rFonts w:hint="default"/>
        <w:color w:val="000000"/>
        <w:position w:val="0"/>
        <w:sz w:val="24"/>
      </w:rPr>
    </w:lvl>
    <w:lvl w:ilvl="3">
      <w:start w:val="1"/>
      <w:numFmt w:val="decimal"/>
      <w:isLgl/>
      <w:suff w:val="nothing"/>
      <w:lvlText w:val="%4."/>
      <w:lvlJc w:val="left"/>
      <w:pPr>
        <w:ind w:left="0" w:firstLine="2880"/>
      </w:pPr>
      <w:rPr>
        <w:rFonts w:hint="default"/>
        <w:color w:val="000000"/>
        <w:position w:val="0"/>
        <w:sz w:val="24"/>
      </w:rPr>
    </w:lvl>
    <w:lvl w:ilvl="4">
      <w:start w:val="1"/>
      <w:numFmt w:val="lowerLetter"/>
      <w:suff w:val="nothing"/>
      <w:lvlText w:val="%5."/>
      <w:lvlJc w:val="left"/>
      <w:pPr>
        <w:ind w:left="0" w:firstLine="3600"/>
      </w:pPr>
      <w:rPr>
        <w:rFonts w:hint="default"/>
        <w:color w:val="000000"/>
        <w:position w:val="0"/>
        <w:sz w:val="24"/>
      </w:rPr>
    </w:lvl>
    <w:lvl w:ilvl="5">
      <w:start w:val="1"/>
      <w:numFmt w:val="lowerRoman"/>
      <w:suff w:val="nothing"/>
      <w:lvlText w:val="%6."/>
      <w:lvlJc w:val="left"/>
      <w:pPr>
        <w:ind w:left="0" w:firstLine="4320"/>
      </w:pPr>
      <w:rPr>
        <w:rFonts w:hint="default"/>
        <w:color w:val="000000"/>
        <w:position w:val="0"/>
        <w:sz w:val="24"/>
      </w:rPr>
    </w:lvl>
    <w:lvl w:ilvl="6">
      <w:start w:val="1"/>
      <w:numFmt w:val="decimal"/>
      <w:isLgl/>
      <w:suff w:val="nothing"/>
      <w:lvlText w:val="%7."/>
      <w:lvlJc w:val="left"/>
      <w:pPr>
        <w:ind w:left="0" w:firstLine="5040"/>
      </w:pPr>
      <w:rPr>
        <w:rFonts w:hint="default"/>
        <w:color w:val="000000"/>
        <w:position w:val="0"/>
        <w:sz w:val="24"/>
      </w:rPr>
    </w:lvl>
    <w:lvl w:ilvl="7">
      <w:start w:val="1"/>
      <w:numFmt w:val="lowerLetter"/>
      <w:suff w:val="nothing"/>
      <w:lvlText w:val="%8."/>
      <w:lvlJc w:val="left"/>
      <w:pPr>
        <w:ind w:left="0" w:firstLine="5760"/>
      </w:pPr>
      <w:rPr>
        <w:rFonts w:hint="default"/>
        <w:color w:val="000000"/>
        <w:position w:val="0"/>
        <w:sz w:val="24"/>
      </w:rPr>
    </w:lvl>
    <w:lvl w:ilvl="8">
      <w:start w:val="1"/>
      <w:numFmt w:val="lowerRoman"/>
      <w:suff w:val="nothing"/>
      <w:lvlText w:val="%9."/>
      <w:lvlJc w:val="left"/>
      <w:pPr>
        <w:ind w:left="0" w:firstLine="6480"/>
      </w:pPr>
      <w:rPr>
        <w:rFonts w:hint="default"/>
        <w:color w:val="000000"/>
        <w:position w:val="0"/>
        <w:sz w:val="24"/>
      </w:rPr>
    </w:lvl>
  </w:abstractNum>
  <w:abstractNum w:abstractNumId="2">
    <w:nsid w:val="00000003"/>
    <w:multiLevelType w:val="multilevel"/>
    <w:tmpl w:val="894EE875"/>
    <w:lvl w:ilvl="0">
      <w:numFmt w:val="bullet"/>
      <w:lvlText w:val="·"/>
      <w:lvlJc w:val="left"/>
      <w:pPr>
        <w:tabs>
          <w:tab w:val="num" w:pos="360"/>
        </w:tabs>
        <w:ind w:left="360" w:firstLine="0"/>
      </w:pPr>
      <w:rPr>
        <w:rFonts w:hint="default"/>
        <w:color w:val="000000"/>
        <w:position w:val="0"/>
        <w:sz w:val="24"/>
      </w:rPr>
    </w:lvl>
    <w:lvl w:ilvl="1">
      <w:start w:val="1"/>
      <w:numFmt w:val="bullet"/>
      <w:suff w:val="nothing"/>
      <w:lvlText w:val="o"/>
      <w:lvlJc w:val="left"/>
      <w:pPr>
        <w:ind w:left="0" w:firstLine="1440"/>
      </w:pPr>
      <w:rPr>
        <w:rFonts w:ascii="Courier New" w:eastAsia="ヒラギノ角ゴ Pro W3" w:hAnsi="Courier New" w:hint="default"/>
        <w:color w:val="000000"/>
        <w:position w:val="0"/>
        <w:sz w:val="24"/>
      </w:rPr>
    </w:lvl>
    <w:lvl w:ilvl="2">
      <w:start w:val="1"/>
      <w:numFmt w:val="bullet"/>
      <w:suff w:val="nothing"/>
      <w:lvlText w:val=""/>
      <w:lvlJc w:val="left"/>
      <w:pPr>
        <w:ind w:left="0" w:firstLine="2160"/>
      </w:pPr>
      <w:rPr>
        <w:rFonts w:ascii="Wingdings" w:eastAsia="ヒラギノ角ゴ Pro W3" w:hAnsi="Wingdings" w:hint="default"/>
        <w:color w:val="000000"/>
        <w:position w:val="0"/>
        <w:sz w:val="24"/>
      </w:rPr>
    </w:lvl>
    <w:lvl w:ilvl="3">
      <w:start w:val="1"/>
      <w:numFmt w:val="bullet"/>
      <w:suff w:val="nothing"/>
      <w:lvlText w:val="·"/>
      <w:lvlJc w:val="left"/>
      <w:pPr>
        <w:ind w:left="0" w:firstLine="2880"/>
      </w:pPr>
      <w:rPr>
        <w:rFonts w:hint="default"/>
        <w:color w:val="000000"/>
        <w:position w:val="0"/>
        <w:sz w:val="24"/>
      </w:rPr>
    </w:lvl>
    <w:lvl w:ilvl="4">
      <w:start w:val="1"/>
      <w:numFmt w:val="bullet"/>
      <w:suff w:val="nothing"/>
      <w:lvlText w:val="o"/>
      <w:lvlJc w:val="left"/>
      <w:pPr>
        <w:ind w:left="0" w:firstLine="3600"/>
      </w:pPr>
      <w:rPr>
        <w:rFonts w:ascii="Courier New" w:eastAsia="ヒラギノ角ゴ Pro W3" w:hAnsi="Courier New" w:hint="default"/>
        <w:color w:val="000000"/>
        <w:position w:val="0"/>
        <w:sz w:val="24"/>
      </w:rPr>
    </w:lvl>
    <w:lvl w:ilvl="5">
      <w:start w:val="1"/>
      <w:numFmt w:val="bullet"/>
      <w:suff w:val="nothing"/>
      <w:lvlText w:val=""/>
      <w:lvlJc w:val="left"/>
      <w:pPr>
        <w:ind w:left="0" w:firstLine="4320"/>
      </w:pPr>
      <w:rPr>
        <w:rFonts w:ascii="Wingdings" w:eastAsia="ヒラギノ角ゴ Pro W3" w:hAnsi="Wingdings" w:hint="default"/>
        <w:color w:val="000000"/>
        <w:position w:val="0"/>
        <w:sz w:val="24"/>
      </w:rPr>
    </w:lvl>
    <w:lvl w:ilvl="6">
      <w:start w:val="1"/>
      <w:numFmt w:val="bullet"/>
      <w:suff w:val="nothing"/>
      <w:lvlText w:val="·"/>
      <w:lvlJc w:val="left"/>
      <w:pPr>
        <w:ind w:left="0" w:firstLine="5040"/>
      </w:pPr>
      <w:rPr>
        <w:rFonts w:hint="default"/>
        <w:color w:val="000000"/>
        <w:position w:val="0"/>
        <w:sz w:val="24"/>
      </w:rPr>
    </w:lvl>
    <w:lvl w:ilvl="7">
      <w:start w:val="1"/>
      <w:numFmt w:val="bullet"/>
      <w:suff w:val="nothing"/>
      <w:lvlText w:val="o"/>
      <w:lvlJc w:val="left"/>
      <w:pPr>
        <w:ind w:left="0" w:firstLine="5760"/>
      </w:pPr>
      <w:rPr>
        <w:rFonts w:ascii="Courier New" w:eastAsia="ヒラギノ角ゴ Pro W3" w:hAnsi="Courier New" w:hint="default"/>
        <w:color w:val="000000"/>
        <w:position w:val="0"/>
        <w:sz w:val="24"/>
      </w:rPr>
    </w:lvl>
    <w:lvl w:ilvl="8">
      <w:start w:val="1"/>
      <w:numFmt w:val="bullet"/>
      <w:suff w:val="nothing"/>
      <w:lvlText w:val=""/>
      <w:lvlJc w:val="left"/>
      <w:pPr>
        <w:ind w:left="0" w:firstLine="6480"/>
      </w:pPr>
      <w:rPr>
        <w:rFonts w:ascii="Wingdings" w:eastAsia="ヒラギノ角ゴ Pro W3" w:hAnsi="Wingdings" w:hint="default"/>
        <w:color w:val="000000"/>
        <w:position w:val="0"/>
        <w:sz w:val="24"/>
      </w:rPr>
    </w:lvl>
  </w:abstractNum>
  <w:abstractNum w:abstractNumId="3">
    <w:nsid w:val="00000004"/>
    <w:multiLevelType w:val="multilevel"/>
    <w:tmpl w:val="894EE876"/>
    <w:lvl w:ilvl="0">
      <w:start w:val="1"/>
      <w:numFmt w:val="upperLetter"/>
      <w:lvlText w:val="%1."/>
      <w:lvlJc w:val="left"/>
      <w:pPr>
        <w:tabs>
          <w:tab w:val="num" w:pos="360"/>
        </w:tabs>
        <w:ind w:left="360" w:firstLine="405"/>
      </w:pPr>
      <w:rPr>
        <w:rFonts w:hint="default"/>
        <w:color w:val="000000"/>
        <w:position w:val="0"/>
        <w:sz w:val="24"/>
      </w:rPr>
    </w:lvl>
    <w:lvl w:ilvl="1">
      <w:start w:val="1"/>
      <w:numFmt w:val="lowerLetter"/>
      <w:suff w:val="nothing"/>
      <w:lvlText w:val="%2."/>
      <w:lvlJc w:val="left"/>
      <w:pPr>
        <w:ind w:left="0" w:firstLine="1485"/>
      </w:pPr>
      <w:rPr>
        <w:rFonts w:hint="default"/>
        <w:color w:val="000000"/>
        <w:position w:val="0"/>
        <w:sz w:val="24"/>
      </w:rPr>
    </w:lvl>
    <w:lvl w:ilvl="2">
      <w:start w:val="1"/>
      <w:numFmt w:val="lowerRoman"/>
      <w:suff w:val="nothing"/>
      <w:lvlText w:val="%3."/>
      <w:lvlJc w:val="left"/>
      <w:pPr>
        <w:ind w:left="0" w:firstLine="2205"/>
      </w:pPr>
      <w:rPr>
        <w:rFonts w:hint="default"/>
        <w:color w:val="000000"/>
        <w:position w:val="0"/>
        <w:sz w:val="24"/>
      </w:rPr>
    </w:lvl>
    <w:lvl w:ilvl="3">
      <w:start w:val="1"/>
      <w:numFmt w:val="decimal"/>
      <w:isLgl/>
      <w:suff w:val="nothing"/>
      <w:lvlText w:val="%4."/>
      <w:lvlJc w:val="left"/>
      <w:pPr>
        <w:ind w:left="0" w:firstLine="2925"/>
      </w:pPr>
      <w:rPr>
        <w:rFonts w:hint="default"/>
        <w:color w:val="000000"/>
        <w:position w:val="0"/>
        <w:sz w:val="24"/>
      </w:rPr>
    </w:lvl>
    <w:lvl w:ilvl="4">
      <w:start w:val="1"/>
      <w:numFmt w:val="lowerLetter"/>
      <w:suff w:val="nothing"/>
      <w:lvlText w:val="%5."/>
      <w:lvlJc w:val="left"/>
      <w:pPr>
        <w:ind w:left="0" w:firstLine="3645"/>
      </w:pPr>
      <w:rPr>
        <w:rFonts w:hint="default"/>
        <w:color w:val="000000"/>
        <w:position w:val="0"/>
        <w:sz w:val="24"/>
      </w:rPr>
    </w:lvl>
    <w:lvl w:ilvl="5">
      <w:start w:val="1"/>
      <w:numFmt w:val="lowerRoman"/>
      <w:suff w:val="nothing"/>
      <w:lvlText w:val="%6."/>
      <w:lvlJc w:val="left"/>
      <w:pPr>
        <w:ind w:left="0" w:firstLine="4365"/>
      </w:pPr>
      <w:rPr>
        <w:rFonts w:hint="default"/>
        <w:color w:val="000000"/>
        <w:position w:val="0"/>
        <w:sz w:val="24"/>
      </w:rPr>
    </w:lvl>
    <w:lvl w:ilvl="6">
      <w:start w:val="1"/>
      <w:numFmt w:val="decimal"/>
      <w:isLgl/>
      <w:suff w:val="nothing"/>
      <w:lvlText w:val="%7."/>
      <w:lvlJc w:val="left"/>
      <w:pPr>
        <w:ind w:left="0" w:firstLine="5085"/>
      </w:pPr>
      <w:rPr>
        <w:rFonts w:hint="default"/>
        <w:color w:val="000000"/>
        <w:position w:val="0"/>
        <w:sz w:val="24"/>
      </w:rPr>
    </w:lvl>
    <w:lvl w:ilvl="7">
      <w:start w:val="1"/>
      <w:numFmt w:val="lowerLetter"/>
      <w:suff w:val="nothing"/>
      <w:lvlText w:val="%8."/>
      <w:lvlJc w:val="left"/>
      <w:pPr>
        <w:ind w:left="0" w:firstLine="5805"/>
      </w:pPr>
      <w:rPr>
        <w:rFonts w:hint="default"/>
        <w:color w:val="000000"/>
        <w:position w:val="0"/>
        <w:sz w:val="24"/>
      </w:rPr>
    </w:lvl>
    <w:lvl w:ilvl="8">
      <w:start w:val="1"/>
      <w:numFmt w:val="lowerRoman"/>
      <w:suff w:val="nothing"/>
      <w:lvlText w:val="%9."/>
      <w:lvlJc w:val="left"/>
      <w:pPr>
        <w:ind w:left="0" w:firstLine="450"/>
      </w:pPr>
      <w:rPr>
        <w:rFonts w:hint="default"/>
        <w:color w:val="000000"/>
        <w:position w:val="0"/>
        <w:sz w:val="24"/>
      </w:rPr>
    </w:lvl>
  </w:abstractNum>
  <w:abstractNum w:abstractNumId="4">
    <w:nsid w:val="00000005"/>
    <w:multiLevelType w:val="multilevel"/>
    <w:tmpl w:val="894EE877"/>
    <w:lvl w:ilvl="0">
      <w:start w:val="1"/>
      <w:numFmt w:val="bullet"/>
      <w:lvlText w:val="·"/>
      <w:lvlJc w:val="left"/>
      <w:pPr>
        <w:tabs>
          <w:tab w:val="num" w:pos="360"/>
        </w:tabs>
        <w:ind w:left="360" w:firstLine="0"/>
      </w:pPr>
      <w:rPr>
        <w:rFonts w:hint="default"/>
        <w:color w:val="000000"/>
        <w:position w:val="0"/>
        <w:sz w:val="24"/>
      </w:rPr>
    </w:lvl>
    <w:lvl w:ilvl="1">
      <w:start w:val="1"/>
      <w:numFmt w:val="bullet"/>
      <w:suff w:val="nothing"/>
      <w:lvlText w:val="o"/>
      <w:lvlJc w:val="left"/>
      <w:pPr>
        <w:ind w:left="0" w:firstLine="1080"/>
      </w:pPr>
      <w:rPr>
        <w:rFonts w:ascii="Courier New" w:eastAsia="ヒラギノ角ゴ Pro W3" w:hAnsi="Courier New" w:hint="default"/>
        <w:color w:val="000000"/>
        <w:position w:val="0"/>
        <w:sz w:val="24"/>
      </w:rPr>
    </w:lvl>
    <w:lvl w:ilvl="2">
      <w:start w:val="1"/>
      <w:numFmt w:val="bullet"/>
      <w:suff w:val="nothing"/>
      <w:lvlText w:val=""/>
      <w:lvlJc w:val="left"/>
      <w:pPr>
        <w:ind w:left="0" w:firstLine="1800"/>
      </w:pPr>
      <w:rPr>
        <w:rFonts w:ascii="Wingdings" w:eastAsia="ヒラギノ角ゴ Pro W3" w:hAnsi="Wingdings" w:hint="default"/>
        <w:color w:val="000000"/>
        <w:position w:val="0"/>
        <w:sz w:val="24"/>
      </w:rPr>
    </w:lvl>
    <w:lvl w:ilvl="3">
      <w:start w:val="1"/>
      <w:numFmt w:val="bullet"/>
      <w:suff w:val="nothing"/>
      <w:lvlText w:val="·"/>
      <w:lvlJc w:val="left"/>
      <w:pPr>
        <w:ind w:left="0" w:firstLine="2520"/>
      </w:pPr>
      <w:rPr>
        <w:rFonts w:hint="default"/>
        <w:color w:val="000000"/>
        <w:position w:val="0"/>
        <w:sz w:val="24"/>
      </w:rPr>
    </w:lvl>
    <w:lvl w:ilvl="4">
      <w:start w:val="1"/>
      <w:numFmt w:val="bullet"/>
      <w:suff w:val="nothing"/>
      <w:lvlText w:val="o"/>
      <w:lvlJc w:val="left"/>
      <w:pPr>
        <w:ind w:left="0" w:firstLine="3240"/>
      </w:pPr>
      <w:rPr>
        <w:rFonts w:ascii="Courier New" w:eastAsia="ヒラギノ角ゴ Pro W3" w:hAnsi="Courier New" w:hint="default"/>
        <w:color w:val="000000"/>
        <w:position w:val="0"/>
        <w:sz w:val="24"/>
      </w:rPr>
    </w:lvl>
    <w:lvl w:ilvl="5">
      <w:start w:val="1"/>
      <w:numFmt w:val="bullet"/>
      <w:suff w:val="nothing"/>
      <w:lvlText w:val=""/>
      <w:lvlJc w:val="left"/>
      <w:pPr>
        <w:ind w:left="0" w:firstLine="3960"/>
      </w:pPr>
      <w:rPr>
        <w:rFonts w:ascii="Wingdings" w:eastAsia="ヒラギノ角ゴ Pro W3" w:hAnsi="Wingdings" w:hint="default"/>
        <w:color w:val="000000"/>
        <w:position w:val="0"/>
        <w:sz w:val="24"/>
      </w:rPr>
    </w:lvl>
    <w:lvl w:ilvl="6">
      <w:start w:val="1"/>
      <w:numFmt w:val="bullet"/>
      <w:suff w:val="nothing"/>
      <w:lvlText w:val="·"/>
      <w:lvlJc w:val="left"/>
      <w:pPr>
        <w:ind w:left="0" w:firstLine="4680"/>
      </w:pPr>
      <w:rPr>
        <w:rFonts w:hint="default"/>
        <w:color w:val="000000"/>
        <w:position w:val="0"/>
        <w:sz w:val="24"/>
      </w:rPr>
    </w:lvl>
    <w:lvl w:ilvl="7">
      <w:start w:val="1"/>
      <w:numFmt w:val="bullet"/>
      <w:suff w:val="nothing"/>
      <w:lvlText w:val="o"/>
      <w:lvlJc w:val="left"/>
      <w:pPr>
        <w:ind w:left="0" w:firstLine="5400"/>
      </w:pPr>
      <w:rPr>
        <w:rFonts w:ascii="Courier New" w:eastAsia="ヒラギノ角ゴ Pro W3" w:hAnsi="Courier New" w:hint="default"/>
        <w:color w:val="000000"/>
        <w:position w:val="0"/>
        <w:sz w:val="24"/>
      </w:rPr>
    </w:lvl>
    <w:lvl w:ilvl="8">
      <w:start w:val="1"/>
      <w:numFmt w:val="bullet"/>
      <w:suff w:val="nothing"/>
      <w:lvlText w:val=""/>
      <w:lvlJc w:val="left"/>
      <w:pPr>
        <w:ind w:left="0" w:firstLine="6120"/>
      </w:pPr>
      <w:rPr>
        <w:rFonts w:ascii="Wingdings" w:eastAsia="ヒラギノ角ゴ Pro W3" w:hAnsi="Wingdings" w:hint="default"/>
        <w:color w:val="000000"/>
        <w:position w:val="0"/>
        <w:sz w:val="24"/>
      </w:rPr>
    </w:lvl>
  </w:abstractNum>
  <w:abstractNum w:abstractNumId="5">
    <w:nsid w:val="00000006"/>
    <w:multiLevelType w:val="multilevel"/>
    <w:tmpl w:val="894EE878"/>
    <w:lvl w:ilvl="0">
      <w:start w:val="1"/>
      <w:numFmt w:val="upperLetter"/>
      <w:lvlText w:val="%1."/>
      <w:lvlJc w:val="left"/>
      <w:pPr>
        <w:tabs>
          <w:tab w:val="num" w:pos="360"/>
        </w:tabs>
        <w:ind w:left="360" w:firstLine="360"/>
      </w:pPr>
      <w:rPr>
        <w:rFonts w:hint="default"/>
        <w:color w:val="000000"/>
        <w:position w:val="0"/>
        <w:sz w:val="24"/>
      </w:rPr>
    </w:lvl>
    <w:lvl w:ilvl="1">
      <w:start w:val="1"/>
      <w:numFmt w:val="lowerLetter"/>
      <w:suff w:val="nothing"/>
      <w:lvlText w:val="%2."/>
      <w:lvlJc w:val="left"/>
      <w:pPr>
        <w:ind w:left="0" w:firstLine="1440"/>
      </w:pPr>
      <w:rPr>
        <w:rFonts w:hint="default"/>
        <w:color w:val="000000"/>
        <w:position w:val="0"/>
        <w:sz w:val="24"/>
      </w:rPr>
    </w:lvl>
    <w:lvl w:ilvl="2">
      <w:start w:val="1"/>
      <w:numFmt w:val="lowerRoman"/>
      <w:suff w:val="nothing"/>
      <w:lvlText w:val="%3."/>
      <w:lvlJc w:val="left"/>
      <w:pPr>
        <w:ind w:left="0" w:firstLine="2160"/>
      </w:pPr>
      <w:rPr>
        <w:rFonts w:hint="default"/>
        <w:color w:val="000000"/>
        <w:position w:val="0"/>
        <w:sz w:val="24"/>
      </w:rPr>
    </w:lvl>
    <w:lvl w:ilvl="3">
      <w:start w:val="1"/>
      <w:numFmt w:val="decimal"/>
      <w:isLgl/>
      <w:suff w:val="nothing"/>
      <w:lvlText w:val="%4."/>
      <w:lvlJc w:val="left"/>
      <w:pPr>
        <w:ind w:left="0" w:firstLine="2880"/>
      </w:pPr>
      <w:rPr>
        <w:rFonts w:hint="default"/>
        <w:color w:val="000000"/>
        <w:position w:val="0"/>
        <w:sz w:val="24"/>
      </w:rPr>
    </w:lvl>
    <w:lvl w:ilvl="4">
      <w:start w:val="1"/>
      <w:numFmt w:val="lowerLetter"/>
      <w:suff w:val="nothing"/>
      <w:lvlText w:val="%5."/>
      <w:lvlJc w:val="left"/>
      <w:pPr>
        <w:ind w:left="0" w:firstLine="3600"/>
      </w:pPr>
      <w:rPr>
        <w:rFonts w:hint="default"/>
        <w:color w:val="000000"/>
        <w:position w:val="0"/>
        <w:sz w:val="24"/>
      </w:rPr>
    </w:lvl>
    <w:lvl w:ilvl="5">
      <w:start w:val="1"/>
      <w:numFmt w:val="lowerRoman"/>
      <w:suff w:val="nothing"/>
      <w:lvlText w:val="%6."/>
      <w:lvlJc w:val="left"/>
      <w:pPr>
        <w:ind w:left="0" w:firstLine="4320"/>
      </w:pPr>
      <w:rPr>
        <w:rFonts w:hint="default"/>
        <w:color w:val="000000"/>
        <w:position w:val="0"/>
        <w:sz w:val="24"/>
      </w:rPr>
    </w:lvl>
    <w:lvl w:ilvl="6">
      <w:start w:val="1"/>
      <w:numFmt w:val="decimal"/>
      <w:isLgl/>
      <w:suff w:val="nothing"/>
      <w:lvlText w:val="%7."/>
      <w:lvlJc w:val="left"/>
      <w:pPr>
        <w:ind w:left="0" w:firstLine="5040"/>
      </w:pPr>
      <w:rPr>
        <w:rFonts w:hint="default"/>
        <w:color w:val="000000"/>
        <w:position w:val="0"/>
        <w:sz w:val="24"/>
      </w:rPr>
    </w:lvl>
    <w:lvl w:ilvl="7">
      <w:start w:val="1"/>
      <w:numFmt w:val="lowerLetter"/>
      <w:suff w:val="nothing"/>
      <w:lvlText w:val="%8."/>
      <w:lvlJc w:val="left"/>
      <w:pPr>
        <w:ind w:left="0" w:firstLine="5760"/>
      </w:pPr>
      <w:rPr>
        <w:rFonts w:hint="default"/>
        <w:color w:val="000000"/>
        <w:position w:val="0"/>
        <w:sz w:val="24"/>
      </w:rPr>
    </w:lvl>
    <w:lvl w:ilvl="8">
      <w:start w:val="1"/>
      <w:numFmt w:val="lowerRoman"/>
      <w:suff w:val="nothing"/>
      <w:lvlText w:val="%9."/>
      <w:lvlJc w:val="left"/>
      <w:pPr>
        <w:ind w:left="0" w:firstLine="6480"/>
      </w:pPr>
      <w:rPr>
        <w:rFonts w:hint="default"/>
        <w:color w:val="000000"/>
        <w:position w:val="0"/>
        <w:sz w:val="24"/>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embedSystemFonts/>
  <w:bordersDoNotSurroundHeader/>
  <w:bordersDoNotSurroundFooter/>
  <w:proofState w:spelling="clean" w:grammar="clean"/>
  <w:stylePaneFormatFilter w:val="2801"/>
  <w:defaultTabStop w:val="720"/>
  <w:defaultTableStyle w:val="Normal"/>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compat>
  <w:rsids>
    <w:rsidRoot w:val="00582FAC"/>
    <w:rsid w:val="00034C44"/>
    <w:rsid w:val="001173A3"/>
    <w:rsid w:val="00167D69"/>
    <w:rsid w:val="00291BC8"/>
    <w:rsid w:val="002E3C27"/>
    <w:rsid w:val="00582FAC"/>
    <w:rsid w:val="005C44D5"/>
    <w:rsid w:val="007B2875"/>
    <w:rsid w:val="0090265E"/>
    <w:rsid w:val="00BF1DCA"/>
    <w:rsid w:val="00E96D0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1"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locked="0" w:semiHidden="1" w:uiPriority="99"/>
    <w:lsdException w:name="No Spacing" w:locked="0" w:uiPriority="1"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lsdException w:name="List Paragraph" w:locked="0" w:uiPriority="34" w:qFormat="1"/>
    <w:lsdException w:name="Quote" w:locked="0" w:uiPriority="29" w:qFormat="1"/>
    <w:lsdException w:name="Intense Quote" w:locked="0" w:uiPriority="30"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Normal">
    <w:name w:val="Normal"/>
    <w:qFormat/>
    <w:rsid w:val="007B2875"/>
    <w:rPr>
      <w:rFonts w:eastAsia="ヒラギノ角ゴ Pro W3"/>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eeFormA">
    <w:name w:val="Free Form A"/>
    <w:rsid w:val="007B2875"/>
    <w:rPr>
      <w:rFonts w:eastAsia="ヒラギノ角ゴ Pro W3"/>
      <w:color w:val="000000"/>
    </w:rPr>
  </w:style>
  <w:style w:type="paragraph" w:customStyle="1" w:styleId="Footer1">
    <w:name w:val="Footer1"/>
    <w:rsid w:val="007B2875"/>
    <w:pPr>
      <w:tabs>
        <w:tab w:val="center" w:pos="4320"/>
        <w:tab w:val="right" w:pos="8640"/>
      </w:tabs>
    </w:pPr>
    <w:rPr>
      <w:rFonts w:eastAsia="ヒラギノ角ゴ Pro W3"/>
      <w:color w:val="000000"/>
      <w:sz w:val="24"/>
    </w:rPr>
  </w:style>
  <w:style w:type="character" w:customStyle="1" w:styleId="Hyperlink1">
    <w:name w:val="Hyperlink1"/>
    <w:rsid w:val="007B2875"/>
    <w:rPr>
      <w:color w:val="0000FF"/>
      <w:sz w:val="20"/>
      <w:u w:val="single"/>
    </w:rPr>
  </w:style>
  <w:style w:type="character" w:customStyle="1" w:styleId="Unknown0">
    <w:name w:val="Unknown 0"/>
    <w:semiHidden/>
    <w:rsid w:val="007B2875"/>
  </w:style>
  <w:style w:type="paragraph" w:customStyle="1" w:styleId="FreeForm">
    <w:name w:val="Free Form"/>
    <w:rsid w:val="007B2875"/>
    <w:rPr>
      <w:rFonts w:eastAsia="ヒラギノ角ゴ Pro W3"/>
      <w:color w:val="000000"/>
    </w:rPr>
  </w:style>
  <w:style w:type="character" w:customStyle="1" w:styleId="FootnoteReference1">
    <w:name w:val="Footnote Reference1"/>
    <w:aliases w:val="16 Point,Superscript 6 Point"/>
    <w:rsid w:val="007B2875"/>
    <w:rPr>
      <w:color w:val="000000"/>
      <w:sz w:val="20"/>
      <w:vertAlign w:val="superscript"/>
    </w:rPr>
  </w:style>
  <w:style w:type="paragraph" w:customStyle="1" w:styleId="FootnoteText1">
    <w:name w:val="Footnote Text1"/>
    <w:aliases w:val="Geneva 9,Font: Geneva 9,Boston 10,f"/>
    <w:rsid w:val="007B2875"/>
    <w:rPr>
      <w:rFonts w:eastAsia="ヒラギノ角ゴ Pro W3"/>
      <w:color w:val="000000"/>
    </w:rPr>
  </w:style>
  <w:style w:type="paragraph" w:customStyle="1" w:styleId="Heading3AA">
    <w:name w:val="Heading 3 A A"/>
    <w:next w:val="Normal"/>
    <w:rsid w:val="007B2875"/>
    <w:pPr>
      <w:keepNext/>
      <w:outlineLvl w:val="2"/>
    </w:pPr>
    <w:rPr>
      <w:rFonts w:ascii="Times New Roman Bold" w:eastAsia="ヒラギノ角ゴ Pro W3" w:hAnsi="Times New Roman Bold"/>
      <w:color w:val="000000"/>
      <w:sz w:val="24"/>
    </w:rPr>
  </w:style>
  <w:style w:type="paragraph" w:styleId="ListParagraph">
    <w:name w:val="List Paragraph"/>
    <w:qFormat/>
    <w:rsid w:val="007B2875"/>
    <w:pPr>
      <w:spacing w:after="200" w:line="276" w:lineRule="auto"/>
    </w:pPr>
    <w:rPr>
      <w:rFonts w:ascii="Times New Roman Bold" w:eastAsia="ヒラギノ角ゴ Pro W3" w:hAnsi="Times New Roman Bold"/>
      <w:smallCaps/>
      <w:color w:val="000000"/>
      <w:sz w:val="22"/>
      <w:lang w:val="en-GB"/>
    </w:rPr>
  </w:style>
  <w:style w:type="character" w:customStyle="1" w:styleId="PageNumber1">
    <w:name w:val="Page Number1"/>
    <w:rsid w:val="007B2875"/>
    <w:rPr>
      <w:color w:val="000000"/>
      <w:sz w:val="20"/>
    </w:rPr>
  </w:style>
  <w:style w:type="paragraph" w:styleId="BalloonText">
    <w:name w:val="Balloon Text"/>
    <w:basedOn w:val="Normal"/>
    <w:link w:val="BalloonTextChar"/>
    <w:locked/>
    <w:rsid w:val="001173A3"/>
    <w:rPr>
      <w:rFonts w:ascii="Tahoma" w:hAnsi="Tahoma" w:cs="Tahoma"/>
      <w:sz w:val="16"/>
      <w:szCs w:val="16"/>
    </w:rPr>
  </w:style>
  <w:style w:type="character" w:customStyle="1" w:styleId="BalloonTextChar">
    <w:name w:val="Balloon Text Char"/>
    <w:basedOn w:val="DefaultParagraphFont"/>
    <w:link w:val="BalloonText"/>
    <w:rsid w:val="001173A3"/>
    <w:rPr>
      <w:rFonts w:ascii="Tahoma" w:eastAsia="ヒラギノ角ゴ Pro W3"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hegef.org/gef/sites/thegef.org/files/documents/OFP%20Endorsement%20Letter%20Template%20for%20SGP%2009-08-2010.doc" TargetMode="External"/><Relationship Id="rId18" Type="http://schemas.openxmlformats.org/officeDocument/2006/relationships/header" Target="header3.xml"/><Relationship Id="rId26" Type="http://schemas.openxmlformats.org/officeDocument/2006/relationships/customXml" Target="../customXml/item3.xml"/><Relationship Id="rId3" Type="http://schemas.openxmlformats.org/officeDocument/2006/relationships/settings" Target="settings.xml"/><Relationship Id="rId21" Type="http://schemas.openxmlformats.org/officeDocument/2006/relationships/footer" Target="footer4.xml"/><Relationship Id="rId7" Type="http://schemas.openxmlformats.org/officeDocument/2006/relationships/hyperlink" Target="http://www.thegef.org/gef/home" TargetMode="External"/><Relationship Id="rId12" Type="http://schemas.openxmlformats.org/officeDocument/2006/relationships/hyperlink" Target="http://www.thegef.org/gef/sites/thegef.org/files/documents/OFP%20Endorsement%20Letter%20Template%2011-1-11_0.doc" TargetMode="External"/><Relationship Id="rId17" Type="http://schemas.openxmlformats.org/officeDocument/2006/relationships/footer" Target="footer2.xml"/><Relationship Id="rId25"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24" Type="http://schemas.openxmlformats.org/officeDocument/2006/relationships/customXml" Target="../customXml/item1.xml"/><Relationship Id="rId5" Type="http://schemas.openxmlformats.org/officeDocument/2006/relationships/footnotes" Target="footnotes.xml"/><Relationship Id="rId15" Type="http://schemas.openxmlformats.org/officeDocument/2006/relationships/header" Target="header2.xml"/><Relationship Id="rId23" Type="http://schemas.openxmlformats.org/officeDocument/2006/relationships/theme" Target="theme/theme1.xml"/><Relationship Id="rId10" Type="http://schemas.openxmlformats.org/officeDocument/2006/relationships/hyperlink" Target="http://gefweb.org/Documents/Council_Documents/GEF_C21/C.20.6.Rev.1.pdf" TargetMode="External"/><Relationship Id="rId19"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yperlink" Target="http://www.thegef.org/gef/sites/thegef.org/files/documents/document/GEF5-Template%20Reference%20Guide%209-14-10rev11-18-2010.doc" TargetMode="External"/><Relationship Id="rId14" Type="http://schemas.openxmlformats.org/officeDocument/2006/relationships/header" Target="header1.xm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node/36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197E5AD-90DC-4C74-82A1-0541BAF014D7}"/>
</file>

<file path=customXml/itemProps2.xml><?xml version="1.0" encoding="utf-8"?>
<ds:datastoreItem xmlns:ds="http://schemas.openxmlformats.org/officeDocument/2006/customXml" ds:itemID="{EC336AB0-9652-4B89-B72D-5E8A09F21CF6}"/>
</file>

<file path=customXml/itemProps3.xml><?xml version="1.0" encoding="utf-8"?>
<ds:datastoreItem xmlns:ds="http://schemas.openxmlformats.org/officeDocument/2006/customXml" ds:itemID="{EB611CEA-C040-4661-A92B-39070A78B287}"/>
</file>

<file path=docProps/app.xml><?xml version="1.0" encoding="utf-8"?>
<Properties xmlns="http://schemas.openxmlformats.org/officeDocument/2006/extended-properties" xmlns:vt="http://schemas.openxmlformats.org/officeDocument/2006/docPropsVTypes">
  <Template>Normal</Template>
  <TotalTime>1</TotalTime>
  <Pages>27</Pages>
  <Words>12824</Words>
  <Characters>75094</Characters>
  <Application>Microsoft Office Word</Application>
  <DocSecurity>0</DocSecurity>
  <Lines>625</Lines>
  <Paragraphs>175</Paragraphs>
  <ScaleCrop>false</ScaleCrop>
  <HeadingPairs>
    <vt:vector size="2" baseType="variant">
      <vt:variant>
        <vt:lpstr>Title</vt:lpstr>
      </vt:variant>
      <vt:variant>
        <vt:i4>1</vt:i4>
      </vt:variant>
    </vt:vector>
  </HeadingPairs>
  <TitlesOfParts>
    <vt:vector size="1" baseType="lpstr">
      <vt:lpstr>FINANCING PLAN (IN US$):</vt:lpstr>
    </vt:vector>
  </TitlesOfParts>
  <Company>Conservation International Foundation</Company>
  <LinksUpToDate>false</LinksUpToDate>
  <CharactersWithSpaces>87743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lspijkerman</cp:lastModifiedBy>
  <cp:revision>2</cp:revision>
  <cp:lastPrinted>2014-01-31T17:30:00Z</cp:lastPrinted>
  <dcterms:created xsi:type="dcterms:W3CDTF">2014-01-31T17:37:00Z</dcterms:created>
  <dcterms:modified xsi:type="dcterms:W3CDTF">2014-01-31T17:37:00Z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